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CA" w:rsidRDefault="00D919CA" w:rsidP="00E15ACF">
      <w:pPr>
        <w:tabs>
          <w:tab w:val="left" w:pos="5509"/>
        </w:tabs>
        <w:jc w:val="both"/>
      </w:pPr>
    </w:p>
    <w:p w:rsidR="00D919CA" w:rsidRPr="001A50F3" w:rsidRDefault="00D919CA" w:rsidP="00D919CA">
      <w:pPr>
        <w:spacing w:after="0" w:line="240" w:lineRule="auto"/>
        <w:jc w:val="center"/>
        <w:rPr>
          <w:rFonts w:ascii="Franklin Gothic Book" w:hAnsi="Franklin Gothic Book"/>
        </w:rPr>
      </w:pPr>
      <w:r>
        <w:rPr>
          <w:rFonts w:ascii="Franklin Gothic Book" w:hAnsi="Franklin Gothic Book"/>
        </w:rPr>
        <w:t>“2015. Año del Bicentenario Luctuoso de José María Morelos y Pavón”</w:t>
      </w:r>
    </w:p>
    <w:p w:rsidR="00D919CA" w:rsidRPr="00711AB3" w:rsidRDefault="00D919CA" w:rsidP="00D919CA">
      <w:pPr>
        <w:spacing w:after="0" w:line="240" w:lineRule="auto"/>
        <w:jc w:val="center"/>
        <w:rPr>
          <w:b/>
          <w:sz w:val="32"/>
        </w:rPr>
      </w:pPr>
      <w:r w:rsidRPr="00711AB3">
        <w:rPr>
          <w:b/>
          <w:sz w:val="40"/>
          <w:szCs w:val="28"/>
        </w:rPr>
        <w:t>ESCUELA NORMAL DE ATIZAPÁN DE ZARAGOZA</w:t>
      </w:r>
    </w:p>
    <w:p w:rsidR="00D919CA" w:rsidRPr="00F17684" w:rsidRDefault="00D919CA" w:rsidP="00D919CA">
      <w:pPr>
        <w:spacing w:after="0" w:line="240" w:lineRule="auto"/>
        <w:jc w:val="center"/>
        <w:rPr>
          <w:b/>
          <w:sz w:val="24"/>
          <w:szCs w:val="24"/>
        </w:rPr>
      </w:pPr>
      <w:r>
        <w:rPr>
          <w:b/>
          <w:sz w:val="24"/>
          <w:szCs w:val="24"/>
        </w:rPr>
        <w:t>“Formar para transformar, con calidad, calidez y compromiso social”</w:t>
      </w:r>
    </w:p>
    <w:p w:rsidR="00D919CA" w:rsidRDefault="00D919CA" w:rsidP="00D919CA">
      <w:pPr>
        <w:jc w:val="center"/>
        <w:rPr>
          <w:b/>
          <w:sz w:val="28"/>
        </w:rPr>
      </w:pPr>
      <w:r>
        <w:rPr>
          <w:b/>
          <w:sz w:val="28"/>
        </w:rPr>
        <w:t>SEPTIM</w:t>
      </w:r>
      <w:r>
        <w:rPr>
          <w:b/>
          <w:sz w:val="28"/>
        </w:rPr>
        <w:t>O SEMESTRE</w:t>
      </w:r>
    </w:p>
    <w:p w:rsidR="00D919CA" w:rsidRDefault="00D919CA" w:rsidP="00D919CA">
      <w:pPr>
        <w:jc w:val="center"/>
        <w:rPr>
          <w:b/>
          <w:sz w:val="28"/>
        </w:rPr>
      </w:pPr>
      <w:r>
        <w:rPr>
          <w:b/>
          <w:sz w:val="28"/>
        </w:rPr>
        <w:t>Ciclo Escolar 2014-2015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4598"/>
      </w:tblGrid>
      <w:tr w:rsidR="00D919CA" w:rsidRPr="00545D30" w:rsidTr="007C5E36">
        <w:trPr>
          <w:trHeight w:val="286"/>
        </w:trPr>
        <w:tc>
          <w:tcPr>
            <w:tcW w:w="2500" w:type="pct"/>
            <w:tcBorders>
              <w:bottom w:val="single" w:sz="4" w:space="0" w:color="auto"/>
            </w:tcBorders>
            <w:shd w:val="clear" w:color="auto" w:fill="auto"/>
            <w:vAlign w:val="center"/>
          </w:tcPr>
          <w:p w:rsidR="00D919CA" w:rsidRPr="00060F16" w:rsidRDefault="00D919CA" w:rsidP="007C5E36">
            <w:pPr>
              <w:pBdr>
                <w:bottom w:val="single" w:sz="8" w:space="4" w:color="4F81BD"/>
              </w:pBdr>
              <w:contextualSpacing/>
              <w:jc w:val="center"/>
              <w:rPr>
                <w:rFonts w:ascii="Arial" w:eastAsia="Times New Roman" w:hAnsi="Arial" w:cs="Arial"/>
                <w:b/>
                <w:spacing w:val="5"/>
                <w:kern w:val="28"/>
                <w:sz w:val="16"/>
                <w:szCs w:val="16"/>
              </w:rPr>
            </w:pPr>
            <w:r w:rsidRPr="00060F16">
              <w:rPr>
                <w:rFonts w:ascii="Arial" w:eastAsia="Times New Roman" w:hAnsi="Arial" w:cs="Arial"/>
                <w:b/>
                <w:spacing w:val="5"/>
                <w:kern w:val="28"/>
                <w:sz w:val="16"/>
                <w:szCs w:val="16"/>
              </w:rPr>
              <w:t>MISIÓN INSTITUCIONAL</w:t>
            </w:r>
          </w:p>
        </w:tc>
        <w:tc>
          <w:tcPr>
            <w:tcW w:w="2500" w:type="pct"/>
            <w:tcBorders>
              <w:bottom w:val="single" w:sz="4" w:space="0" w:color="auto"/>
            </w:tcBorders>
            <w:shd w:val="clear" w:color="auto" w:fill="auto"/>
            <w:vAlign w:val="center"/>
          </w:tcPr>
          <w:p w:rsidR="00D919CA" w:rsidRPr="00060F16" w:rsidRDefault="00D919CA" w:rsidP="007C5E36">
            <w:pPr>
              <w:pBdr>
                <w:bottom w:val="single" w:sz="8" w:space="4" w:color="4F81BD"/>
              </w:pBdr>
              <w:contextualSpacing/>
              <w:jc w:val="center"/>
              <w:rPr>
                <w:rFonts w:ascii="Arial" w:eastAsia="Times New Roman" w:hAnsi="Arial" w:cs="Arial"/>
                <w:b/>
                <w:spacing w:val="5"/>
                <w:kern w:val="28"/>
                <w:sz w:val="16"/>
                <w:szCs w:val="16"/>
              </w:rPr>
            </w:pPr>
            <w:r w:rsidRPr="00060F16">
              <w:rPr>
                <w:rFonts w:ascii="Arial" w:eastAsia="Times New Roman" w:hAnsi="Arial" w:cs="Arial"/>
                <w:b/>
                <w:spacing w:val="5"/>
                <w:kern w:val="28"/>
                <w:sz w:val="16"/>
                <w:szCs w:val="16"/>
              </w:rPr>
              <w:t>VISIÓN INSTITUCIONAL</w:t>
            </w:r>
          </w:p>
        </w:tc>
      </w:tr>
      <w:tr w:rsidR="00D919CA" w:rsidRPr="00545D30" w:rsidTr="007C5E36">
        <w:trPr>
          <w:trHeight w:val="1551"/>
        </w:trPr>
        <w:tc>
          <w:tcPr>
            <w:tcW w:w="2500" w:type="pct"/>
            <w:tcBorders>
              <w:top w:val="single" w:sz="4" w:space="0" w:color="auto"/>
            </w:tcBorders>
            <w:shd w:val="clear" w:color="auto" w:fill="auto"/>
          </w:tcPr>
          <w:p w:rsidR="00D919CA" w:rsidRPr="00503F05" w:rsidRDefault="00D919CA" w:rsidP="007C5E36">
            <w:pPr>
              <w:pBdr>
                <w:bottom w:val="single" w:sz="8" w:space="4" w:color="4F81BD"/>
              </w:pBdr>
              <w:contextualSpacing/>
              <w:jc w:val="both"/>
              <w:rPr>
                <w:rFonts w:eastAsia="Times New Roman" w:cs="Arial"/>
                <w:spacing w:val="5"/>
                <w:kern w:val="28"/>
                <w:sz w:val="20"/>
                <w:szCs w:val="20"/>
              </w:rPr>
            </w:pPr>
            <w:r w:rsidRPr="00503F05">
              <w:rPr>
                <w:rFonts w:eastAsia="Times New Roman" w:cs="Arial"/>
                <w:spacing w:val="5"/>
                <w:kern w:val="28"/>
                <w:sz w:val="20"/>
                <w:szCs w:val="20"/>
              </w:rPr>
              <w:t>“Formar profesionales innovadores para la educación básica, sustentada en los avances de la ciencia y la tecnología de manera interactiva, reflexiva y propositiva, a través de un trabajo colaborativo, con el fin de potenciar holísticamente las competencias profesionales; en el marco de una cultura axiológica que responda con calidad, calidez y compromiso a las expectativas y retos de la sociedad actual”</w:t>
            </w:r>
          </w:p>
        </w:tc>
        <w:tc>
          <w:tcPr>
            <w:tcW w:w="2500" w:type="pct"/>
            <w:tcBorders>
              <w:top w:val="single" w:sz="4" w:space="0" w:color="auto"/>
            </w:tcBorders>
            <w:shd w:val="clear" w:color="auto" w:fill="auto"/>
          </w:tcPr>
          <w:p w:rsidR="00D919CA" w:rsidRPr="00503F05" w:rsidRDefault="00D919CA" w:rsidP="007C5E36">
            <w:pPr>
              <w:pStyle w:val="Textoindependiente"/>
              <w:pBdr>
                <w:bottom w:val="single" w:sz="8" w:space="4" w:color="4F81BD"/>
              </w:pBdr>
              <w:contextualSpacing/>
              <w:jc w:val="both"/>
              <w:rPr>
                <w:b/>
                <w:spacing w:val="5"/>
                <w:kern w:val="28"/>
                <w:sz w:val="20"/>
                <w:szCs w:val="20"/>
              </w:rPr>
            </w:pPr>
            <w:r w:rsidRPr="00503F05">
              <w:rPr>
                <w:spacing w:val="5"/>
                <w:kern w:val="28"/>
                <w:sz w:val="20"/>
                <w:szCs w:val="20"/>
              </w:rPr>
              <w:t>“Somos una Institución de Educación Superior  formadora de profesionales educativos, orientada a elevar los procesos de la Capacidad, Competitividad académicas y Gestión estratégica, que responda a los retos,  expectativas y desafíos de la sociedad hacia la excelencia educativa”</w:t>
            </w:r>
          </w:p>
        </w:tc>
      </w:tr>
    </w:tbl>
    <w:p w:rsidR="00D919CA" w:rsidRPr="00D929D3" w:rsidRDefault="00D919CA" w:rsidP="00D919CA">
      <w:pPr>
        <w:rPr>
          <w:sz w:val="28"/>
        </w:rPr>
      </w:pPr>
      <w:bookmarkStart w:id="0" w:name="_GoBack"/>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9.2pt;margin-top:13pt;width:342.8pt;height:275.15pt;z-index:-251657216;mso-position-horizontal-relative:text;mso-position-vertical-relative:text" wrapcoords="-72 0 -72 21544 21600 21544 21600 0 -72 0">
            <v:imagedata r:id="rId7" o:title="" gain="19661f" blacklevel="22938f"/>
          </v:shape>
          <o:OLEObject Type="Embed" ProgID="PBrush" ShapeID="_x0000_s1027" DrawAspect="Content" ObjectID="_1502706234" r:id="rId8"/>
        </w:object>
      </w:r>
    </w:p>
    <w:bookmarkEnd w:id="0"/>
    <w:p w:rsidR="00D919CA" w:rsidRDefault="00D919CA" w:rsidP="00D919CA">
      <w:pPr>
        <w:jc w:val="center"/>
        <w:rPr>
          <w:rFonts w:ascii="Albertus Medium" w:hAnsi="Albertus Medium"/>
          <w:sz w:val="48"/>
        </w:rPr>
      </w:pPr>
      <w:r>
        <w:rPr>
          <w:rFonts w:ascii="Albertus Medium" w:hAnsi="Albertus Medium"/>
          <w:sz w:val="48"/>
        </w:rPr>
        <w:t>P</w:t>
      </w:r>
      <w:r>
        <w:rPr>
          <w:rFonts w:ascii="Albertus Medium" w:hAnsi="Albertus Medium"/>
          <w:sz w:val="48"/>
        </w:rPr>
        <w:t>roblemas de la gestión educativa en América Latina</w:t>
      </w:r>
    </w:p>
    <w:p w:rsidR="00D919CA" w:rsidRPr="00D919CA" w:rsidRDefault="00D919CA" w:rsidP="00D919CA">
      <w:pPr>
        <w:jc w:val="right"/>
        <w:rPr>
          <w:rFonts w:ascii="Albertus Medium" w:hAnsi="Albertus Medium"/>
          <w:sz w:val="44"/>
        </w:rPr>
      </w:pPr>
      <w:r w:rsidRPr="00D919CA">
        <w:rPr>
          <w:rFonts w:ascii="Albertus Medium" w:hAnsi="Albertus Medium"/>
          <w:sz w:val="44"/>
        </w:rPr>
        <w:t>Juan Casassus</w:t>
      </w:r>
    </w:p>
    <w:p w:rsidR="00D919CA" w:rsidRPr="00D919CA" w:rsidRDefault="00D919CA" w:rsidP="00D919CA">
      <w:pPr>
        <w:pStyle w:val="Sinespaciado"/>
        <w:jc w:val="right"/>
        <w:rPr>
          <w:rFonts w:ascii="Arial Narrow" w:hAnsi="Arial Narrow"/>
          <w:sz w:val="32"/>
        </w:rPr>
      </w:pPr>
      <w:r w:rsidRPr="00D919CA">
        <w:rPr>
          <w:rFonts w:ascii="Arial Narrow" w:hAnsi="Arial Narrow"/>
          <w:sz w:val="32"/>
        </w:rPr>
        <w:t>Planeación y gestión educativa</w:t>
      </w:r>
    </w:p>
    <w:p w:rsidR="00D919CA" w:rsidRPr="00D919CA" w:rsidRDefault="00D919CA" w:rsidP="00D919CA">
      <w:pPr>
        <w:pStyle w:val="Sinespaciado"/>
        <w:jc w:val="right"/>
        <w:rPr>
          <w:rFonts w:ascii="Arial Narrow" w:hAnsi="Arial Narrow"/>
          <w:sz w:val="32"/>
        </w:rPr>
      </w:pPr>
      <w:r w:rsidRPr="00D919CA">
        <w:rPr>
          <w:rFonts w:ascii="Arial Narrow" w:hAnsi="Arial Narrow"/>
          <w:sz w:val="32"/>
        </w:rPr>
        <w:t>Licenciatura en educación primaria</w:t>
      </w:r>
    </w:p>
    <w:p w:rsidR="00D919CA" w:rsidRPr="00D919CA" w:rsidRDefault="00D919CA" w:rsidP="00D919CA">
      <w:pPr>
        <w:pStyle w:val="Sinespaciado"/>
        <w:jc w:val="right"/>
        <w:rPr>
          <w:rFonts w:ascii="Arial Narrow" w:hAnsi="Arial Narrow"/>
          <w:sz w:val="32"/>
        </w:rPr>
      </w:pPr>
      <w:r w:rsidRPr="00D919CA">
        <w:rPr>
          <w:rFonts w:ascii="Arial Narrow" w:hAnsi="Arial Narrow"/>
          <w:sz w:val="32"/>
        </w:rPr>
        <w:t>4° I</w:t>
      </w:r>
    </w:p>
    <w:p w:rsidR="00D919CA" w:rsidRDefault="00D919CA" w:rsidP="00D919CA">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EQUIPO 3</w:t>
      </w:r>
      <w:r w:rsidRPr="00D929D3">
        <w:rPr>
          <w:rFonts w:ascii="Albertus Medium" w:hAnsi="Albertus Medium"/>
          <w:sz w:val="28"/>
          <w:szCs w:val="28"/>
        </w:rPr>
        <w:t>:</w:t>
      </w:r>
      <w:r>
        <w:rPr>
          <w:rFonts w:ascii="Albertus Medium" w:hAnsi="Albertus Medium"/>
          <w:sz w:val="28"/>
          <w:szCs w:val="28"/>
        </w:rPr>
        <w:t xml:space="preserve"> </w:t>
      </w:r>
    </w:p>
    <w:p w:rsidR="00D919CA" w:rsidRDefault="00D919CA" w:rsidP="00D919CA">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Lariza Marisol Molina Rodríguez</w:t>
      </w:r>
    </w:p>
    <w:p w:rsidR="00D919CA" w:rsidRDefault="00D919CA" w:rsidP="00D919CA">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Ana Laura Vargas Garduño</w:t>
      </w:r>
    </w:p>
    <w:p w:rsidR="00D919CA" w:rsidRDefault="00D919CA" w:rsidP="00D919CA">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Manuel Valencia Sánchez</w:t>
      </w:r>
    </w:p>
    <w:p w:rsidR="00D919CA" w:rsidRDefault="00D919CA" w:rsidP="00D919CA">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Maricarmen Cruz Vargas</w:t>
      </w:r>
    </w:p>
    <w:p w:rsidR="00D919CA" w:rsidRDefault="00D919CA" w:rsidP="00D919CA">
      <w:pPr>
        <w:pBdr>
          <w:bottom w:val="single" w:sz="12" w:space="1" w:color="auto"/>
        </w:pBdr>
        <w:spacing w:after="0" w:line="240" w:lineRule="auto"/>
        <w:rPr>
          <w:rFonts w:ascii="Albertus Medium" w:hAnsi="Albertus Medium"/>
          <w:sz w:val="28"/>
          <w:szCs w:val="28"/>
        </w:rPr>
      </w:pPr>
    </w:p>
    <w:p w:rsidR="00D919CA" w:rsidRDefault="00D919CA" w:rsidP="00D919CA">
      <w:pPr>
        <w:pBdr>
          <w:bottom w:val="single" w:sz="12" w:space="1" w:color="auto"/>
        </w:pBdr>
        <w:spacing w:after="0" w:line="240" w:lineRule="auto"/>
        <w:rPr>
          <w:rFonts w:ascii="Albertus Medium" w:hAnsi="Albertus Medium"/>
          <w:sz w:val="28"/>
          <w:szCs w:val="28"/>
        </w:rPr>
      </w:pPr>
      <w:r w:rsidRPr="00D929D3">
        <w:rPr>
          <w:rFonts w:ascii="Albertus Medium" w:hAnsi="Albertus Medium"/>
          <w:sz w:val="28"/>
          <w:szCs w:val="28"/>
        </w:rPr>
        <w:t>Docente de asignatura:</w:t>
      </w:r>
      <w:r>
        <w:rPr>
          <w:rFonts w:ascii="Albertus Medium" w:hAnsi="Albertus Medium"/>
          <w:sz w:val="28"/>
          <w:szCs w:val="28"/>
        </w:rPr>
        <w:t xml:space="preserve">  </w:t>
      </w:r>
      <w:r w:rsidRPr="00D929D3">
        <w:rPr>
          <w:rFonts w:ascii="Albertus Medium" w:hAnsi="Albertus Medium"/>
          <w:sz w:val="28"/>
          <w:szCs w:val="28"/>
        </w:rPr>
        <w:t xml:space="preserve"> </w:t>
      </w:r>
      <w:r>
        <w:rPr>
          <w:rFonts w:ascii="Albertus Medium" w:hAnsi="Albertus Medium"/>
          <w:sz w:val="28"/>
          <w:szCs w:val="28"/>
        </w:rPr>
        <w:t xml:space="preserve">Martha Romo Macías </w:t>
      </w:r>
    </w:p>
    <w:p w:rsidR="00D919CA" w:rsidRDefault="00D919CA" w:rsidP="00D919CA">
      <w:pPr>
        <w:pBdr>
          <w:bottom w:val="single" w:sz="12" w:space="1" w:color="auto"/>
        </w:pBdr>
        <w:spacing w:after="0" w:line="240" w:lineRule="auto"/>
        <w:rPr>
          <w:rFonts w:ascii="Albertus Medium" w:hAnsi="Albertus Medium"/>
          <w:sz w:val="28"/>
          <w:szCs w:val="28"/>
        </w:rPr>
      </w:pPr>
    </w:p>
    <w:tbl>
      <w:tblPr>
        <w:tblStyle w:val="Tablaconcuadrcula"/>
        <w:tblpPr w:leftFromText="141" w:rightFromText="141" w:vertAnchor="page" w:horzAnchor="margin" w:tblpY="871"/>
        <w:tblW w:w="0" w:type="auto"/>
        <w:tblLook w:val="04A0" w:firstRow="1" w:lastRow="0" w:firstColumn="1" w:lastColumn="0" w:noHBand="0" w:noVBand="1"/>
      </w:tblPr>
      <w:tblGrid>
        <w:gridCol w:w="4489"/>
        <w:gridCol w:w="4489"/>
      </w:tblGrid>
      <w:tr w:rsidR="00D919CA" w:rsidRPr="00D919CA" w:rsidTr="00D919CA">
        <w:tc>
          <w:tcPr>
            <w:tcW w:w="8978" w:type="dxa"/>
            <w:gridSpan w:val="2"/>
          </w:tcPr>
          <w:p w:rsidR="00D919CA" w:rsidRPr="00D919CA" w:rsidRDefault="00D919CA" w:rsidP="00D919CA">
            <w:pPr>
              <w:jc w:val="center"/>
              <w:rPr>
                <w:rFonts w:ascii="Arial" w:hAnsi="Arial" w:cs="Arial"/>
                <w:b/>
                <w:sz w:val="32"/>
              </w:rPr>
            </w:pPr>
            <w:r w:rsidRPr="00D919CA">
              <w:rPr>
                <w:rFonts w:ascii="Arial" w:hAnsi="Arial" w:cs="Arial"/>
                <w:b/>
                <w:sz w:val="32"/>
              </w:rPr>
              <w:lastRenderedPageBreak/>
              <w:t>Cuadro comparativo</w:t>
            </w:r>
          </w:p>
          <w:p w:rsidR="00D919CA" w:rsidRPr="00D919CA" w:rsidRDefault="00D919CA" w:rsidP="00D919CA">
            <w:pPr>
              <w:rPr>
                <w:rFonts w:ascii="Arial" w:hAnsi="Arial" w:cs="Arial"/>
                <w:sz w:val="24"/>
              </w:rPr>
            </w:pPr>
          </w:p>
          <w:p w:rsidR="00D919CA" w:rsidRPr="00D919CA" w:rsidRDefault="00D919CA" w:rsidP="00D919CA">
            <w:pPr>
              <w:rPr>
                <w:rFonts w:ascii="Arial" w:hAnsi="Arial" w:cs="Arial"/>
                <w:sz w:val="24"/>
              </w:rPr>
            </w:pPr>
            <w:r w:rsidRPr="00D919CA">
              <w:rPr>
                <w:rFonts w:ascii="Arial" w:hAnsi="Arial" w:cs="Arial"/>
                <w:sz w:val="24"/>
              </w:rPr>
              <w:t>CASASSUS, J. (2000). Problemas de la gestión educativa en América Latina. La tensión entre los paradigmas de tipo A y el tipo B. Santiago de Chile: UNESCO.</w:t>
            </w:r>
          </w:p>
        </w:tc>
      </w:tr>
      <w:tr w:rsidR="00D919CA" w:rsidRPr="00D919CA" w:rsidTr="00D919CA">
        <w:tc>
          <w:tcPr>
            <w:tcW w:w="4489" w:type="dxa"/>
          </w:tcPr>
          <w:p w:rsidR="00D919CA" w:rsidRPr="00D919CA" w:rsidRDefault="00D919CA" w:rsidP="00D919CA">
            <w:pPr>
              <w:jc w:val="center"/>
              <w:rPr>
                <w:rFonts w:ascii="Arial" w:hAnsi="Arial" w:cs="Arial"/>
                <w:b/>
                <w:sz w:val="28"/>
              </w:rPr>
            </w:pPr>
            <w:r w:rsidRPr="00D919CA">
              <w:rPr>
                <w:rFonts w:ascii="Arial" w:hAnsi="Arial" w:cs="Arial"/>
                <w:b/>
                <w:sz w:val="28"/>
              </w:rPr>
              <w:t>Gestión</w:t>
            </w:r>
          </w:p>
        </w:tc>
        <w:tc>
          <w:tcPr>
            <w:tcW w:w="4489" w:type="dxa"/>
          </w:tcPr>
          <w:p w:rsidR="00D919CA" w:rsidRDefault="00D919CA" w:rsidP="00D919CA">
            <w:pPr>
              <w:jc w:val="center"/>
              <w:rPr>
                <w:rFonts w:ascii="Arial" w:hAnsi="Arial" w:cs="Arial"/>
                <w:b/>
                <w:sz w:val="28"/>
              </w:rPr>
            </w:pPr>
            <w:r w:rsidRPr="00D919CA">
              <w:rPr>
                <w:rFonts w:ascii="Arial" w:hAnsi="Arial" w:cs="Arial"/>
                <w:b/>
                <w:sz w:val="28"/>
              </w:rPr>
              <w:t>Administración</w:t>
            </w:r>
          </w:p>
          <w:p w:rsidR="00D919CA" w:rsidRPr="00D919CA" w:rsidRDefault="00D919CA" w:rsidP="00D919CA">
            <w:pPr>
              <w:jc w:val="center"/>
              <w:rPr>
                <w:rFonts w:ascii="Arial" w:hAnsi="Arial" w:cs="Arial"/>
                <w:b/>
                <w:sz w:val="28"/>
              </w:rPr>
            </w:pPr>
          </w:p>
        </w:tc>
      </w:tr>
      <w:tr w:rsidR="00D919CA" w:rsidRPr="00D919CA" w:rsidTr="00D919CA">
        <w:tc>
          <w:tcPr>
            <w:tcW w:w="4489" w:type="dxa"/>
          </w:tcPr>
          <w:p w:rsidR="00D919CA" w:rsidRPr="00D919CA" w:rsidRDefault="00D919CA" w:rsidP="00D919CA">
            <w:pPr>
              <w:rPr>
                <w:rFonts w:ascii="Arial" w:hAnsi="Arial" w:cs="Arial"/>
                <w:sz w:val="24"/>
              </w:rPr>
            </w:pPr>
            <w:r w:rsidRPr="00D919CA">
              <w:rPr>
                <w:rFonts w:ascii="Arial" w:hAnsi="Arial" w:cs="Arial"/>
                <w:sz w:val="24"/>
              </w:rPr>
              <w:t>Se centra en la interacción entre personas.</w:t>
            </w:r>
          </w:p>
        </w:tc>
        <w:tc>
          <w:tcPr>
            <w:tcW w:w="4489" w:type="dxa"/>
          </w:tcPr>
          <w:p w:rsidR="00D919CA" w:rsidRPr="00D919CA" w:rsidRDefault="00D919CA" w:rsidP="00D919CA">
            <w:pPr>
              <w:rPr>
                <w:rFonts w:ascii="Arial" w:hAnsi="Arial" w:cs="Arial"/>
                <w:sz w:val="24"/>
              </w:rPr>
            </w:pPr>
            <w:r w:rsidRPr="00D919CA">
              <w:rPr>
                <w:rFonts w:ascii="Arial" w:hAnsi="Arial" w:cs="Arial"/>
                <w:sz w:val="24"/>
              </w:rPr>
              <w:t>Ejecución de instrucciones</w:t>
            </w:r>
            <w:r w:rsidR="006A2E8C">
              <w:rPr>
                <w:rFonts w:ascii="Arial" w:hAnsi="Arial" w:cs="Arial"/>
                <w:sz w:val="24"/>
              </w:rPr>
              <w:t xml:space="preserve"> de un plan</w:t>
            </w:r>
          </w:p>
        </w:tc>
      </w:tr>
      <w:tr w:rsidR="00D919CA" w:rsidRPr="00D919CA" w:rsidTr="00D919CA">
        <w:tc>
          <w:tcPr>
            <w:tcW w:w="4489" w:type="dxa"/>
          </w:tcPr>
          <w:p w:rsidR="00D919CA" w:rsidRPr="00D919CA" w:rsidRDefault="00D919CA" w:rsidP="00D919CA">
            <w:pPr>
              <w:rPr>
                <w:rFonts w:ascii="Arial" w:hAnsi="Arial" w:cs="Arial"/>
                <w:sz w:val="24"/>
              </w:rPr>
            </w:pPr>
            <w:r w:rsidRPr="00D919CA">
              <w:rPr>
                <w:rFonts w:ascii="Arial" w:hAnsi="Arial" w:cs="Arial"/>
                <w:sz w:val="24"/>
              </w:rPr>
              <w:t>La acción de articular los recursos (la estructura, la estrategia, los sistemas, el estilo, las capacidades, la gente, y los objetivos) de que se disponen de manera de lograr lo que se desea</w:t>
            </w:r>
          </w:p>
        </w:tc>
        <w:tc>
          <w:tcPr>
            <w:tcW w:w="4489" w:type="dxa"/>
          </w:tcPr>
          <w:p w:rsidR="00D919CA" w:rsidRPr="00D919CA" w:rsidRDefault="00D919CA" w:rsidP="00D919CA">
            <w:pPr>
              <w:rPr>
                <w:rFonts w:ascii="Arial" w:hAnsi="Arial" w:cs="Arial"/>
                <w:sz w:val="24"/>
              </w:rPr>
            </w:pPr>
            <w:r w:rsidRPr="00D919CA">
              <w:rPr>
                <w:rFonts w:ascii="Arial" w:hAnsi="Arial" w:cs="Arial"/>
                <w:sz w:val="24"/>
              </w:rPr>
              <w:t>Independientes de los contextos</w:t>
            </w:r>
          </w:p>
        </w:tc>
      </w:tr>
      <w:tr w:rsidR="00D919CA" w:rsidRPr="00D919CA" w:rsidTr="00D919CA">
        <w:tc>
          <w:tcPr>
            <w:tcW w:w="4489" w:type="dxa"/>
          </w:tcPr>
          <w:p w:rsidR="00D919CA" w:rsidRPr="00D919CA" w:rsidRDefault="00D919CA" w:rsidP="00D919CA">
            <w:pPr>
              <w:rPr>
                <w:rFonts w:ascii="Arial" w:hAnsi="Arial" w:cs="Arial"/>
                <w:sz w:val="24"/>
              </w:rPr>
            </w:pPr>
            <w:r w:rsidRPr="00D919CA">
              <w:rPr>
                <w:rFonts w:ascii="Arial" w:hAnsi="Arial" w:cs="Arial"/>
                <w:sz w:val="24"/>
              </w:rPr>
              <w:t>Es un proceso de aprendizaje con la adecuada relación entre estructura, estrategia, sistemas, estilo, capacidades, gente y objetivos superiores, tanto hacia el interior de la organización como hacia el entorno</w:t>
            </w:r>
          </w:p>
        </w:tc>
        <w:tc>
          <w:tcPr>
            <w:tcW w:w="4489" w:type="dxa"/>
          </w:tcPr>
          <w:p w:rsidR="00D919CA" w:rsidRPr="00D919CA" w:rsidRDefault="00D919CA" w:rsidP="00D919CA">
            <w:pPr>
              <w:rPr>
                <w:rFonts w:ascii="Arial" w:hAnsi="Arial" w:cs="Arial"/>
                <w:sz w:val="24"/>
              </w:rPr>
            </w:pPr>
            <w:r w:rsidRPr="00D919CA">
              <w:rPr>
                <w:rFonts w:ascii="Arial" w:hAnsi="Arial" w:cs="Arial"/>
                <w:sz w:val="24"/>
              </w:rPr>
              <w:t>No es lo que ocurre en las situaciones reales</w:t>
            </w:r>
          </w:p>
        </w:tc>
      </w:tr>
      <w:tr w:rsidR="00D919CA" w:rsidRPr="00D919CA" w:rsidTr="00D919CA">
        <w:tc>
          <w:tcPr>
            <w:tcW w:w="4489" w:type="dxa"/>
          </w:tcPr>
          <w:p w:rsidR="006A2E8C" w:rsidRDefault="006A2E8C" w:rsidP="00D919CA">
            <w:pPr>
              <w:rPr>
                <w:rFonts w:ascii="Arial" w:hAnsi="Arial" w:cs="Arial"/>
                <w:sz w:val="24"/>
              </w:rPr>
            </w:pPr>
          </w:p>
          <w:p w:rsidR="00D919CA" w:rsidRPr="00D919CA" w:rsidRDefault="00D919CA" w:rsidP="00D919CA">
            <w:pPr>
              <w:rPr>
                <w:rFonts w:ascii="Arial" w:hAnsi="Arial" w:cs="Arial"/>
                <w:sz w:val="24"/>
              </w:rPr>
            </w:pPr>
            <w:r w:rsidRPr="00D919CA">
              <w:rPr>
                <w:rFonts w:ascii="Arial" w:hAnsi="Arial" w:cs="Arial"/>
                <w:sz w:val="24"/>
              </w:rPr>
              <w:t>Connota tanto las acciones de planificar como las de administrar</w:t>
            </w:r>
          </w:p>
        </w:tc>
        <w:tc>
          <w:tcPr>
            <w:tcW w:w="4489" w:type="dxa"/>
          </w:tcPr>
          <w:p w:rsidR="00D919CA" w:rsidRPr="00D919CA" w:rsidRDefault="006A2E8C" w:rsidP="006A2E8C">
            <w:pPr>
              <w:rPr>
                <w:rFonts w:ascii="Arial" w:hAnsi="Arial" w:cs="Arial"/>
                <w:sz w:val="24"/>
              </w:rPr>
            </w:pPr>
            <w:r w:rsidRPr="006A2E8C">
              <w:rPr>
                <w:rFonts w:ascii="Arial" w:hAnsi="Arial" w:cs="Arial"/>
                <w:sz w:val="24"/>
              </w:rPr>
              <w:t>Técnica encargada de la planificación, organización, direc</w:t>
            </w:r>
            <w:r>
              <w:rPr>
                <w:rFonts w:ascii="Arial" w:hAnsi="Arial" w:cs="Arial"/>
                <w:sz w:val="24"/>
              </w:rPr>
              <w:t xml:space="preserve">ción y control de los recursos de </w:t>
            </w:r>
            <w:r w:rsidRPr="006A2E8C">
              <w:rPr>
                <w:rFonts w:ascii="Arial" w:hAnsi="Arial" w:cs="Arial"/>
                <w:sz w:val="24"/>
              </w:rPr>
              <w:t>una organización, con el fin de obtener el máximo beneficio posible.</w:t>
            </w:r>
          </w:p>
        </w:tc>
      </w:tr>
      <w:tr w:rsidR="00D919CA" w:rsidRPr="00D919CA" w:rsidTr="00D919CA">
        <w:tc>
          <w:tcPr>
            <w:tcW w:w="4489" w:type="dxa"/>
          </w:tcPr>
          <w:p w:rsidR="00D919CA" w:rsidRPr="00D919CA" w:rsidRDefault="006A2E8C" w:rsidP="00D919CA">
            <w:pPr>
              <w:rPr>
                <w:rFonts w:ascii="Arial" w:hAnsi="Arial" w:cs="Arial"/>
                <w:sz w:val="24"/>
              </w:rPr>
            </w:pPr>
            <w:r w:rsidRPr="006A2E8C">
              <w:rPr>
                <w:rFonts w:ascii="Arial" w:hAnsi="Arial" w:cs="Arial"/>
                <w:sz w:val="24"/>
              </w:rPr>
              <w:t>La gestión educativa, es la gestión del entorno interno orientado hacia el logro de los objetivos de la escuela.</w:t>
            </w:r>
          </w:p>
        </w:tc>
        <w:tc>
          <w:tcPr>
            <w:tcW w:w="4489" w:type="dxa"/>
          </w:tcPr>
          <w:p w:rsidR="00D919CA" w:rsidRPr="00D919CA" w:rsidRDefault="00D919CA" w:rsidP="00D919CA">
            <w:pPr>
              <w:rPr>
                <w:rFonts w:ascii="Arial" w:hAnsi="Arial" w:cs="Arial"/>
                <w:sz w:val="24"/>
              </w:rPr>
            </w:pPr>
          </w:p>
        </w:tc>
      </w:tr>
    </w:tbl>
    <w:p w:rsidR="00D919CA" w:rsidRDefault="00D919CA" w:rsidP="00E15ACF">
      <w:pPr>
        <w:tabs>
          <w:tab w:val="left" w:pos="5509"/>
        </w:tabs>
        <w:jc w:val="both"/>
      </w:pPr>
    </w:p>
    <w:p w:rsidR="00E15ACF" w:rsidRPr="00D919CA" w:rsidRDefault="00E15ACF" w:rsidP="00E15ACF">
      <w:pPr>
        <w:pStyle w:val="Prrafodelista"/>
        <w:numPr>
          <w:ilvl w:val="0"/>
          <w:numId w:val="2"/>
        </w:numPr>
        <w:tabs>
          <w:tab w:val="left" w:pos="5509"/>
        </w:tabs>
        <w:jc w:val="both"/>
        <w:rPr>
          <w:rFonts w:ascii="Arial" w:hAnsi="Arial" w:cs="Arial"/>
          <w:sz w:val="24"/>
          <w:szCs w:val="24"/>
        </w:rPr>
      </w:pPr>
      <w:r w:rsidRPr="00D919CA">
        <w:rPr>
          <w:rFonts w:ascii="Arial" w:hAnsi="Arial" w:cs="Arial"/>
          <w:sz w:val="24"/>
          <w:szCs w:val="24"/>
        </w:rPr>
        <w:t>Fue la época en la cual se iniciaron los planes nacionales de desarrollo y, en consecuencia, se diseñaron los planes nacionales de desarrollo educativo. En esta visión de la planificación, la OCDE y CEPAL, pero en particular Jorge Ahumada en ILPES tuvieron una influencia preponderante, y de la cual todos somos herederos.</w:t>
      </w:r>
    </w:p>
    <w:p w:rsidR="00E15ACF" w:rsidRPr="00D919CA" w:rsidRDefault="00E15ACF" w:rsidP="00E15ACF">
      <w:pPr>
        <w:tabs>
          <w:tab w:val="left" w:pos="5509"/>
        </w:tabs>
        <w:jc w:val="both"/>
        <w:rPr>
          <w:rFonts w:ascii="Arial" w:hAnsi="Arial" w:cs="Arial"/>
          <w:sz w:val="24"/>
          <w:szCs w:val="24"/>
        </w:rPr>
      </w:pPr>
      <w:r w:rsidRPr="00D919CA">
        <w:rPr>
          <w:rFonts w:ascii="Arial" w:hAnsi="Arial" w:cs="Arial"/>
          <w:sz w:val="24"/>
          <w:szCs w:val="24"/>
        </w:rPr>
        <w:t>El PREDE asociados a la OEA o el Proyecto Principal de Educación asociados con la UNESCO. En estos proyectos los planificadores tuvieron la posibilidad de encontrarse, comparar posturas, modelos, estrategias y resultados.</w:t>
      </w:r>
    </w:p>
    <w:p w:rsidR="00EB286F" w:rsidRDefault="00EB286F" w:rsidP="00E15ACF">
      <w:pPr>
        <w:tabs>
          <w:tab w:val="left" w:pos="5509"/>
        </w:tabs>
        <w:jc w:val="both"/>
        <w:rPr>
          <w:rFonts w:ascii="Arial" w:hAnsi="Arial" w:cs="Arial"/>
          <w:b/>
          <w:sz w:val="24"/>
          <w:szCs w:val="24"/>
        </w:rPr>
      </w:pPr>
    </w:p>
    <w:p w:rsidR="00E15ACF" w:rsidRPr="00D919CA" w:rsidRDefault="00E15ACF" w:rsidP="00E15ACF">
      <w:pPr>
        <w:tabs>
          <w:tab w:val="left" w:pos="5509"/>
        </w:tabs>
        <w:jc w:val="both"/>
        <w:rPr>
          <w:rFonts w:ascii="Arial" w:hAnsi="Arial" w:cs="Arial"/>
          <w:b/>
          <w:sz w:val="24"/>
          <w:szCs w:val="24"/>
        </w:rPr>
      </w:pPr>
      <w:r w:rsidRPr="00D919CA">
        <w:rPr>
          <w:rFonts w:ascii="Arial" w:hAnsi="Arial" w:cs="Arial"/>
          <w:b/>
          <w:sz w:val="24"/>
          <w:szCs w:val="24"/>
        </w:rPr>
        <w:t>80s</w:t>
      </w:r>
    </w:p>
    <w:p w:rsidR="00E15ACF" w:rsidRPr="00D919CA" w:rsidRDefault="00E15ACF" w:rsidP="00E15ACF">
      <w:pPr>
        <w:tabs>
          <w:tab w:val="left" w:pos="5509"/>
        </w:tabs>
        <w:jc w:val="both"/>
        <w:rPr>
          <w:rFonts w:ascii="Arial" w:hAnsi="Arial" w:cs="Arial"/>
          <w:sz w:val="24"/>
          <w:szCs w:val="24"/>
        </w:rPr>
      </w:pPr>
      <w:r w:rsidRPr="00D919CA">
        <w:rPr>
          <w:rFonts w:ascii="Arial" w:hAnsi="Arial" w:cs="Arial"/>
          <w:sz w:val="24"/>
          <w:szCs w:val="24"/>
        </w:rPr>
        <w:t xml:space="preserve">La gestión estratégica </w:t>
      </w:r>
    </w:p>
    <w:p w:rsidR="00E15ACF" w:rsidRPr="00D919CA" w:rsidRDefault="00E15ACF" w:rsidP="00E15ACF">
      <w:pPr>
        <w:pStyle w:val="Prrafodelista"/>
        <w:numPr>
          <w:ilvl w:val="0"/>
          <w:numId w:val="2"/>
        </w:numPr>
        <w:tabs>
          <w:tab w:val="left" w:pos="5509"/>
        </w:tabs>
        <w:jc w:val="both"/>
        <w:rPr>
          <w:rFonts w:ascii="Arial" w:hAnsi="Arial" w:cs="Arial"/>
          <w:sz w:val="24"/>
          <w:szCs w:val="24"/>
        </w:rPr>
      </w:pPr>
      <w:r w:rsidRPr="00D919CA">
        <w:rPr>
          <w:rFonts w:ascii="Arial" w:hAnsi="Arial" w:cs="Arial"/>
          <w:sz w:val="24"/>
          <w:szCs w:val="24"/>
        </w:rPr>
        <w:t>Consiste en la capacidad de articular los recursos que posee una organización, (humanos, técnicos, materiales y financieros) (Ansoff).</w:t>
      </w:r>
    </w:p>
    <w:p w:rsidR="00E15ACF" w:rsidRPr="00D919CA" w:rsidRDefault="00E15ACF" w:rsidP="00E15ACF">
      <w:pPr>
        <w:tabs>
          <w:tab w:val="left" w:pos="5509"/>
        </w:tabs>
        <w:jc w:val="both"/>
        <w:rPr>
          <w:rFonts w:ascii="Arial" w:hAnsi="Arial" w:cs="Arial"/>
          <w:sz w:val="24"/>
          <w:szCs w:val="24"/>
        </w:rPr>
      </w:pPr>
      <w:r w:rsidRPr="00D919CA">
        <w:rPr>
          <w:rFonts w:ascii="Arial" w:hAnsi="Arial" w:cs="Arial"/>
          <w:sz w:val="24"/>
          <w:szCs w:val="24"/>
        </w:rPr>
        <w:lastRenderedPageBreak/>
        <w:t>Análisis de tipo FODA</w:t>
      </w:r>
    </w:p>
    <w:p w:rsidR="00E15ACF" w:rsidRPr="00D919CA" w:rsidRDefault="00E15ACF" w:rsidP="00E15ACF">
      <w:pPr>
        <w:pStyle w:val="Prrafodelista"/>
        <w:numPr>
          <w:ilvl w:val="0"/>
          <w:numId w:val="2"/>
        </w:numPr>
        <w:tabs>
          <w:tab w:val="left" w:pos="5509"/>
        </w:tabs>
        <w:jc w:val="both"/>
        <w:rPr>
          <w:rFonts w:ascii="Arial" w:hAnsi="Arial" w:cs="Arial"/>
          <w:sz w:val="24"/>
          <w:szCs w:val="24"/>
        </w:rPr>
      </w:pPr>
      <w:r w:rsidRPr="00D919CA">
        <w:rPr>
          <w:rFonts w:ascii="Arial" w:hAnsi="Arial" w:cs="Arial"/>
          <w:sz w:val="24"/>
          <w:szCs w:val="24"/>
        </w:rPr>
        <w:t>Forma de hacer visible una organización a través de una identidad institucional que pone en relieve la misión, la visión, las fortalezas, debilidades, oportunidades y amenazas. Dicho enfoque permitió que las organizaciones pudieran adquirir presencia y permanencia en un contexto cambiante</w:t>
      </w:r>
    </w:p>
    <w:p w:rsidR="00E15ACF" w:rsidRPr="00D919CA" w:rsidRDefault="00E15ACF" w:rsidP="00E15ACF">
      <w:pPr>
        <w:tabs>
          <w:tab w:val="left" w:pos="5509"/>
        </w:tabs>
        <w:jc w:val="both"/>
        <w:rPr>
          <w:rFonts w:ascii="Arial" w:hAnsi="Arial" w:cs="Arial"/>
          <w:sz w:val="24"/>
          <w:szCs w:val="24"/>
        </w:rPr>
      </w:pPr>
      <w:r w:rsidRPr="00D919CA">
        <w:rPr>
          <w:rFonts w:ascii="Arial" w:hAnsi="Arial" w:cs="Arial"/>
          <w:sz w:val="24"/>
          <w:szCs w:val="24"/>
        </w:rPr>
        <w:t>Fue publicado en 1988 en el Harvard Business Review por Arie de Geus intitulado "Planning as learning".</w:t>
      </w:r>
    </w:p>
    <w:p w:rsidR="00E15ACF" w:rsidRPr="00D919CA" w:rsidRDefault="00E15ACF" w:rsidP="00E15ACF">
      <w:pPr>
        <w:pStyle w:val="Prrafodelista"/>
        <w:numPr>
          <w:ilvl w:val="0"/>
          <w:numId w:val="1"/>
        </w:numPr>
        <w:tabs>
          <w:tab w:val="left" w:pos="5509"/>
        </w:tabs>
        <w:jc w:val="both"/>
        <w:rPr>
          <w:rFonts w:ascii="Arial" w:hAnsi="Arial" w:cs="Arial"/>
          <w:sz w:val="24"/>
          <w:szCs w:val="24"/>
        </w:rPr>
      </w:pPr>
      <w:r w:rsidRPr="00D919CA">
        <w:rPr>
          <w:rFonts w:ascii="Arial" w:hAnsi="Arial" w:cs="Arial"/>
          <w:sz w:val="24"/>
          <w:szCs w:val="24"/>
        </w:rPr>
        <w:t>La gestión como “un proceso de aprendizaje de la adecuada relación entre estructura, estrategia, sistemas, estilo, capacidades, gente y objetivos superiores, tanto hacia el interior de la organización como hacia el entorno”.</w:t>
      </w:r>
    </w:p>
    <w:p w:rsidR="00E15ACF" w:rsidRPr="00D919CA" w:rsidRDefault="00E15ACF" w:rsidP="00E15ACF">
      <w:pPr>
        <w:tabs>
          <w:tab w:val="left" w:pos="5509"/>
        </w:tabs>
        <w:jc w:val="both"/>
        <w:rPr>
          <w:rFonts w:ascii="Arial" w:hAnsi="Arial" w:cs="Arial"/>
          <w:b/>
          <w:sz w:val="24"/>
          <w:szCs w:val="24"/>
        </w:rPr>
      </w:pPr>
      <w:r w:rsidRPr="00D919CA">
        <w:rPr>
          <w:rFonts w:ascii="Arial" w:hAnsi="Arial" w:cs="Arial"/>
          <w:b/>
          <w:sz w:val="24"/>
          <w:szCs w:val="24"/>
        </w:rPr>
        <w:t xml:space="preserve">90´s </w:t>
      </w:r>
    </w:p>
    <w:p w:rsidR="00E15ACF" w:rsidRPr="00D919CA" w:rsidRDefault="00E15ACF" w:rsidP="00E15ACF">
      <w:pPr>
        <w:pStyle w:val="Prrafodelista"/>
        <w:numPr>
          <w:ilvl w:val="0"/>
          <w:numId w:val="1"/>
        </w:numPr>
        <w:tabs>
          <w:tab w:val="left" w:pos="5509"/>
        </w:tabs>
        <w:jc w:val="both"/>
        <w:rPr>
          <w:rFonts w:ascii="Arial" w:hAnsi="Arial" w:cs="Arial"/>
          <w:sz w:val="24"/>
          <w:szCs w:val="24"/>
        </w:rPr>
      </w:pPr>
      <w:r w:rsidRPr="00D919CA">
        <w:rPr>
          <w:rFonts w:ascii="Arial" w:hAnsi="Arial" w:cs="Arial"/>
          <w:sz w:val="24"/>
          <w:szCs w:val="24"/>
        </w:rPr>
        <w:t>Cabe destacar, que el pensamiento estratégico tiene en su base un pensamiento de tipo militar. Se reconocen las identidades organizacionales pero su visión de la acción humana se sitúa en una perspectiva competitiva de organizaciones y personas que se constituyen en aliados versus enemigos. en el período de inicio de los años noventa predomina el criterio de buscar acuerdos y tratar de lograr consensos sociales como criterio principal de gestión de los sistemas educativos.</w:t>
      </w:r>
    </w:p>
    <w:p w:rsidR="00E15ACF" w:rsidRPr="00D919CA" w:rsidRDefault="00E15ACF" w:rsidP="00E15ACF">
      <w:pPr>
        <w:pStyle w:val="Prrafodelista"/>
        <w:numPr>
          <w:ilvl w:val="0"/>
          <w:numId w:val="1"/>
        </w:numPr>
        <w:tabs>
          <w:tab w:val="left" w:pos="5509"/>
        </w:tabs>
        <w:jc w:val="both"/>
        <w:rPr>
          <w:rFonts w:ascii="Arial" w:hAnsi="Arial" w:cs="Arial"/>
          <w:sz w:val="24"/>
          <w:szCs w:val="24"/>
        </w:rPr>
      </w:pPr>
      <w:r w:rsidRPr="00D919CA">
        <w:rPr>
          <w:rFonts w:ascii="Arial" w:hAnsi="Arial" w:cs="Arial"/>
          <w:sz w:val="24"/>
          <w:szCs w:val="24"/>
        </w:rPr>
        <w:t>En esta visión se estima que la Calidad Total implica mejorar lo que hay, buscando disminuir los desperdicios y mejorar los procesos existentes, en una visión de conjunto de la organización.</w:t>
      </w:r>
    </w:p>
    <w:p w:rsidR="00E15ACF" w:rsidRPr="00D919CA" w:rsidRDefault="00E15ACF" w:rsidP="00E15ACF">
      <w:pPr>
        <w:pStyle w:val="Prrafodelista"/>
        <w:numPr>
          <w:ilvl w:val="0"/>
          <w:numId w:val="1"/>
        </w:numPr>
        <w:tabs>
          <w:tab w:val="left" w:pos="5509"/>
        </w:tabs>
        <w:jc w:val="both"/>
        <w:rPr>
          <w:rFonts w:ascii="Arial" w:hAnsi="Arial" w:cs="Arial"/>
          <w:sz w:val="24"/>
          <w:szCs w:val="24"/>
        </w:rPr>
      </w:pPr>
      <w:r w:rsidRPr="00D919CA">
        <w:rPr>
          <w:rFonts w:ascii="Arial" w:hAnsi="Arial" w:cs="Arial"/>
          <w:sz w:val="24"/>
          <w:szCs w:val="24"/>
        </w:rPr>
        <w:t xml:space="preserve">Las reformas educativas de los años 90 se centraron en la gestión. La gestión, fue por lo tanto el foco principal de la política, pero por lo mismo, ante la dificultad de asegurar la coherencia de la gestión del sistema también </w:t>
      </w:r>
      <w:r w:rsidR="00D919CA" w:rsidRPr="00D919CA">
        <w:rPr>
          <w:rFonts w:ascii="Arial" w:hAnsi="Arial" w:cs="Arial"/>
          <w:sz w:val="24"/>
          <w:szCs w:val="24"/>
        </w:rPr>
        <w:t>pasó</w:t>
      </w:r>
      <w:r w:rsidRPr="00D919CA">
        <w:rPr>
          <w:rFonts w:ascii="Arial" w:hAnsi="Arial" w:cs="Arial"/>
          <w:sz w:val="24"/>
          <w:szCs w:val="24"/>
        </w:rPr>
        <w:t xml:space="preserve"> a ser el principal problema. Las políticas de reestructuración del sistema, mediante las políticas de descentralización y de centralización, cambiaron las reglas del funcionamiento del sistema educativo. </w:t>
      </w:r>
    </w:p>
    <w:p w:rsidR="006D2E1E" w:rsidRDefault="006D2E1E" w:rsidP="00ED709A">
      <w:pPr>
        <w:ind w:hanging="993"/>
      </w:pPr>
      <w:r>
        <w:rPr>
          <w:noProof/>
          <w:lang w:eastAsia="es-MX"/>
        </w:rPr>
        <w:lastRenderedPageBreak/>
        <w:drawing>
          <wp:inline distT="0" distB="0" distL="0" distR="0" wp14:anchorId="2FA8062D" wp14:editId="5C01AD9C">
            <wp:extent cx="7060019" cy="4093535"/>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D2E1E" w:rsidRPr="0067079F" w:rsidRDefault="006D2E1E" w:rsidP="006D2E1E">
      <w:pPr>
        <w:tabs>
          <w:tab w:val="left" w:pos="5509"/>
        </w:tabs>
        <w:rPr>
          <w:b/>
        </w:rPr>
      </w:pPr>
      <w:r w:rsidRPr="0067079F">
        <w:rPr>
          <w:b/>
        </w:rPr>
        <w:t>70s</w:t>
      </w:r>
    </w:p>
    <w:p w:rsidR="00E15ACF" w:rsidRPr="00580A4A" w:rsidRDefault="0067079F" w:rsidP="00E15ACF">
      <w:pPr>
        <w:tabs>
          <w:tab w:val="left" w:pos="5509"/>
        </w:tabs>
      </w:pPr>
      <w:r>
        <w:t xml:space="preserve">La visión "normativa". </w:t>
      </w:r>
    </w:p>
    <w:p w:rsidR="00580A4A" w:rsidRDefault="00580A4A" w:rsidP="00E15ACF">
      <w:pPr>
        <w:tabs>
          <w:tab w:val="left" w:pos="5509"/>
        </w:tabs>
      </w:pPr>
    </w:p>
    <w:p w:rsidR="00615357" w:rsidRDefault="00615357" w:rsidP="00E15ACF">
      <w:pPr>
        <w:tabs>
          <w:tab w:val="left" w:pos="5509"/>
        </w:tabs>
      </w:pPr>
    </w:p>
    <w:p w:rsidR="00615357" w:rsidRDefault="00615357" w:rsidP="00E15ACF">
      <w:pPr>
        <w:tabs>
          <w:tab w:val="left" w:pos="5509"/>
        </w:tabs>
      </w:pPr>
    </w:p>
    <w:p w:rsidR="00615357" w:rsidRPr="00615357" w:rsidRDefault="00615357" w:rsidP="00E15ACF">
      <w:pPr>
        <w:tabs>
          <w:tab w:val="left" w:pos="5509"/>
        </w:tabs>
        <w:rPr>
          <w:rFonts w:ascii="Arial" w:hAnsi="Arial" w:cs="Arial"/>
          <w:b/>
          <w:sz w:val="32"/>
        </w:rPr>
      </w:pPr>
      <w:r w:rsidRPr="00615357">
        <w:rPr>
          <w:rFonts w:ascii="Arial" w:hAnsi="Arial" w:cs="Arial"/>
          <w:b/>
          <w:sz w:val="32"/>
        </w:rPr>
        <w:t>Glosario</w:t>
      </w:r>
    </w:p>
    <w:p w:rsidR="00EB286F" w:rsidRDefault="00EB286F" w:rsidP="00615357">
      <w:pPr>
        <w:tabs>
          <w:tab w:val="left" w:pos="5509"/>
        </w:tabs>
        <w:jc w:val="both"/>
        <w:rPr>
          <w:rFonts w:ascii="Arial" w:hAnsi="Arial" w:cs="Arial"/>
          <w:sz w:val="24"/>
          <w:szCs w:val="24"/>
        </w:rPr>
      </w:pPr>
      <w:r>
        <w:rPr>
          <w:rFonts w:ascii="Arial" w:hAnsi="Arial" w:cs="Arial"/>
          <w:sz w:val="24"/>
          <w:szCs w:val="24"/>
        </w:rPr>
        <w:t xml:space="preserve">Gestión.- </w:t>
      </w:r>
      <w:r w:rsidRPr="00EB286F">
        <w:rPr>
          <w:rFonts w:ascii="Arial" w:hAnsi="Arial" w:cs="Arial"/>
          <w:sz w:val="24"/>
          <w:szCs w:val="24"/>
        </w:rPr>
        <w:t>proceso de aprendizaje de la adecuada relación entre estructura, estrategia, sistemas, estilo, capacidades, gente y objetivos superiores, tanto hacia el interior de la organización como hacia el entorno</w:t>
      </w:r>
      <w:r>
        <w:rPr>
          <w:rFonts w:ascii="Arial" w:hAnsi="Arial" w:cs="Arial"/>
          <w:sz w:val="24"/>
          <w:szCs w:val="24"/>
        </w:rPr>
        <w:t>.</w:t>
      </w:r>
    </w:p>
    <w:p w:rsidR="00615357" w:rsidRDefault="00615357" w:rsidP="00615357">
      <w:pPr>
        <w:tabs>
          <w:tab w:val="left" w:pos="5509"/>
        </w:tabs>
        <w:jc w:val="both"/>
        <w:rPr>
          <w:rFonts w:ascii="Arial" w:hAnsi="Arial" w:cs="Arial"/>
          <w:sz w:val="24"/>
          <w:szCs w:val="24"/>
        </w:rPr>
      </w:pPr>
      <w:r>
        <w:rPr>
          <w:rFonts w:ascii="Arial" w:hAnsi="Arial" w:cs="Arial"/>
          <w:sz w:val="24"/>
          <w:szCs w:val="24"/>
        </w:rPr>
        <w:t xml:space="preserve">Gestión estratégica.- </w:t>
      </w:r>
      <w:r w:rsidR="006A2E8C">
        <w:rPr>
          <w:rFonts w:ascii="Arial" w:hAnsi="Arial" w:cs="Arial"/>
          <w:sz w:val="24"/>
          <w:szCs w:val="24"/>
        </w:rPr>
        <w:t>c</w:t>
      </w:r>
      <w:r w:rsidRPr="00615357">
        <w:rPr>
          <w:rFonts w:ascii="Arial" w:hAnsi="Arial" w:cs="Arial"/>
          <w:sz w:val="24"/>
          <w:szCs w:val="24"/>
        </w:rPr>
        <w:t>onsiste en la capacidad de articular los recursos que posee una organización, (humanos, técnicos, mat</w:t>
      </w:r>
      <w:r>
        <w:rPr>
          <w:rFonts w:ascii="Arial" w:hAnsi="Arial" w:cs="Arial"/>
          <w:sz w:val="24"/>
          <w:szCs w:val="24"/>
        </w:rPr>
        <w:t>eriales y financieros).</w:t>
      </w:r>
    </w:p>
    <w:p w:rsidR="00EB286F" w:rsidRDefault="00EB286F" w:rsidP="00615357">
      <w:pPr>
        <w:tabs>
          <w:tab w:val="left" w:pos="5509"/>
        </w:tabs>
        <w:jc w:val="both"/>
        <w:rPr>
          <w:rFonts w:ascii="Arial" w:hAnsi="Arial" w:cs="Arial"/>
          <w:sz w:val="24"/>
          <w:szCs w:val="24"/>
        </w:rPr>
      </w:pPr>
      <w:r>
        <w:rPr>
          <w:rFonts w:ascii="Arial" w:hAnsi="Arial" w:cs="Arial"/>
          <w:sz w:val="24"/>
          <w:szCs w:val="24"/>
        </w:rPr>
        <w:t xml:space="preserve">Administración.- </w:t>
      </w:r>
      <w:r w:rsidRPr="00EB286F">
        <w:rPr>
          <w:rFonts w:ascii="Arial" w:hAnsi="Arial" w:cs="Arial"/>
          <w:sz w:val="24"/>
          <w:szCs w:val="24"/>
        </w:rPr>
        <w:t xml:space="preserve">técnica encargada de la planificación, organización, dirección y control de los recursos (humanos, financieros, materiales, tecnológicos, del conocimiento, etc.) de una organización, con el fin de obtener el máximo beneficio </w:t>
      </w:r>
      <w:r w:rsidRPr="00EB286F">
        <w:rPr>
          <w:rFonts w:ascii="Arial" w:hAnsi="Arial" w:cs="Arial"/>
          <w:sz w:val="24"/>
          <w:szCs w:val="24"/>
        </w:rPr>
        <w:lastRenderedPageBreak/>
        <w:t>posible; este beneficio puede ser económico o social, dependiendo de los fines perseguidos por dicha organización.</w:t>
      </w:r>
    </w:p>
    <w:p w:rsidR="00EB286F" w:rsidRDefault="00EB286F" w:rsidP="00615357">
      <w:pPr>
        <w:tabs>
          <w:tab w:val="left" w:pos="5509"/>
        </w:tabs>
        <w:jc w:val="both"/>
        <w:rPr>
          <w:rFonts w:ascii="Arial" w:hAnsi="Arial" w:cs="Arial"/>
          <w:sz w:val="24"/>
          <w:szCs w:val="24"/>
        </w:rPr>
      </w:pPr>
    </w:p>
    <w:p w:rsidR="00615357" w:rsidRDefault="006A2E8C" w:rsidP="00E15ACF">
      <w:pPr>
        <w:tabs>
          <w:tab w:val="left" w:pos="5509"/>
        </w:tabs>
        <w:rPr>
          <w:rFonts w:ascii="Arial" w:hAnsi="Arial" w:cs="Arial"/>
          <w:b/>
          <w:sz w:val="24"/>
          <w:szCs w:val="24"/>
        </w:rPr>
      </w:pPr>
      <w:r w:rsidRPr="006A2E8C">
        <w:rPr>
          <w:rFonts w:ascii="Arial" w:hAnsi="Arial" w:cs="Arial"/>
          <w:b/>
          <w:sz w:val="32"/>
          <w:szCs w:val="24"/>
        </w:rPr>
        <w:t>Reactivos</w:t>
      </w:r>
      <w:r w:rsidRPr="006A2E8C">
        <w:rPr>
          <w:rFonts w:ascii="Arial" w:hAnsi="Arial" w:cs="Arial"/>
          <w:b/>
          <w:sz w:val="24"/>
          <w:szCs w:val="24"/>
        </w:rPr>
        <w:t xml:space="preserve"> </w:t>
      </w:r>
    </w:p>
    <w:p w:rsidR="009913B8" w:rsidRDefault="006A2E8C" w:rsidP="00E15ACF">
      <w:pPr>
        <w:tabs>
          <w:tab w:val="left" w:pos="5509"/>
        </w:tabs>
        <w:rPr>
          <w:rFonts w:ascii="Arial" w:hAnsi="Arial" w:cs="Arial"/>
          <w:b/>
          <w:sz w:val="24"/>
          <w:szCs w:val="24"/>
        </w:rPr>
      </w:pPr>
      <w:r w:rsidRPr="009913B8">
        <w:rPr>
          <w:rFonts w:ascii="Arial" w:hAnsi="Arial" w:cs="Arial"/>
          <w:b/>
          <w:sz w:val="24"/>
          <w:szCs w:val="24"/>
        </w:rPr>
        <w:t xml:space="preserve">¿Qué es gestión? </w:t>
      </w:r>
    </w:p>
    <w:p w:rsidR="009913B8" w:rsidRPr="009913B8" w:rsidRDefault="009913B8" w:rsidP="009913B8">
      <w:pPr>
        <w:pStyle w:val="Prrafodelista"/>
        <w:numPr>
          <w:ilvl w:val="0"/>
          <w:numId w:val="4"/>
        </w:numPr>
        <w:tabs>
          <w:tab w:val="left" w:pos="5509"/>
        </w:tabs>
        <w:rPr>
          <w:rFonts w:ascii="Arial" w:hAnsi="Arial" w:cs="Arial"/>
          <w:sz w:val="24"/>
          <w:szCs w:val="24"/>
          <w:highlight w:val="yellow"/>
        </w:rPr>
      </w:pPr>
      <w:r w:rsidRPr="009913B8">
        <w:rPr>
          <w:rFonts w:ascii="Arial" w:hAnsi="Arial" w:cs="Arial"/>
          <w:sz w:val="24"/>
          <w:szCs w:val="24"/>
          <w:highlight w:val="yellow"/>
        </w:rPr>
        <w:t>P</w:t>
      </w:r>
      <w:r w:rsidR="006A2E8C" w:rsidRPr="009913B8">
        <w:rPr>
          <w:rFonts w:ascii="Arial" w:hAnsi="Arial" w:cs="Arial"/>
          <w:sz w:val="24"/>
          <w:szCs w:val="24"/>
          <w:highlight w:val="yellow"/>
        </w:rPr>
        <w:t>roceso de aprendizaje de la adecuada relación entre estructura, estrategia, sistemas, estilo, capacidades, gente y objetivos superiores, tanto hacia el interior de la organización como hacia el entorno.</w:t>
      </w:r>
    </w:p>
    <w:p w:rsidR="009913B8" w:rsidRDefault="009913B8" w:rsidP="009913B8">
      <w:pPr>
        <w:pStyle w:val="Prrafodelista"/>
        <w:numPr>
          <w:ilvl w:val="0"/>
          <w:numId w:val="4"/>
        </w:numPr>
        <w:tabs>
          <w:tab w:val="left" w:pos="5509"/>
        </w:tabs>
        <w:rPr>
          <w:rFonts w:ascii="Arial" w:hAnsi="Arial" w:cs="Arial"/>
          <w:sz w:val="24"/>
          <w:szCs w:val="24"/>
        </w:rPr>
      </w:pPr>
      <w:r>
        <w:rPr>
          <w:rFonts w:ascii="Arial" w:hAnsi="Arial" w:cs="Arial"/>
          <w:sz w:val="24"/>
          <w:szCs w:val="24"/>
        </w:rPr>
        <w:t>L</w:t>
      </w:r>
      <w:r w:rsidRPr="00615357">
        <w:rPr>
          <w:rFonts w:ascii="Arial" w:hAnsi="Arial" w:cs="Arial"/>
          <w:sz w:val="24"/>
          <w:szCs w:val="24"/>
        </w:rPr>
        <w:t>a capacidad de articular los recursos que posee una organización</w:t>
      </w:r>
      <w:r>
        <w:rPr>
          <w:rFonts w:ascii="Arial" w:hAnsi="Arial" w:cs="Arial"/>
          <w:sz w:val="24"/>
          <w:szCs w:val="24"/>
        </w:rPr>
        <w:t>.</w:t>
      </w:r>
    </w:p>
    <w:p w:rsidR="009913B8" w:rsidRPr="009913B8" w:rsidRDefault="009913B8" w:rsidP="009913B8">
      <w:pPr>
        <w:pStyle w:val="Prrafodelista"/>
        <w:numPr>
          <w:ilvl w:val="0"/>
          <w:numId w:val="4"/>
        </w:numPr>
        <w:tabs>
          <w:tab w:val="left" w:pos="5509"/>
        </w:tabs>
        <w:rPr>
          <w:rFonts w:ascii="Arial" w:hAnsi="Arial" w:cs="Arial"/>
          <w:sz w:val="24"/>
          <w:szCs w:val="24"/>
        </w:rPr>
      </w:pPr>
      <w:r w:rsidRPr="00EB286F">
        <w:rPr>
          <w:rFonts w:ascii="Arial" w:hAnsi="Arial" w:cs="Arial"/>
          <w:sz w:val="24"/>
          <w:szCs w:val="24"/>
        </w:rPr>
        <w:t>técnica encargada de la planificación, organización, dirección y control de los recursos</w:t>
      </w:r>
    </w:p>
    <w:p w:rsidR="009913B8" w:rsidRPr="009913B8" w:rsidRDefault="009913B8" w:rsidP="00E15ACF">
      <w:pPr>
        <w:tabs>
          <w:tab w:val="left" w:pos="5509"/>
        </w:tabs>
        <w:rPr>
          <w:rFonts w:ascii="Arial" w:hAnsi="Arial" w:cs="Arial"/>
          <w:sz w:val="24"/>
          <w:szCs w:val="24"/>
        </w:rPr>
      </w:pPr>
    </w:p>
    <w:p w:rsidR="009913B8" w:rsidRPr="009913B8" w:rsidRDefault="009913B8" w:rsidP="00E15ACF">
      <w:pPr>
        <w:tabs>
          <w:tab w:val="left" w:pos="5509"/>
        </w:tabs>
        <w:rPr>
          <w:rFonts w:ascii="Arial" w:hAnsi="Arial" w:cs="Arial"/>
          <w:b/>
          <w:sz w:val="24"/>
          <w:szCs w:val="24"/>
        </w:rPr>
      </w:pPr>
    </w:p>
    <w:p w:rsidR="009913B8" w:rsidRPr="009913B8" w:rsidRDefault="009913B8" w:rsidP="009913B8">
      <w:pPr>
        <w:tabs>
          <w:tab w:val="left" w:pos="5509"/>
        </w:tabs>
        <w:rPr>
          <w:rFonts w:ascii="Arial" w:hAnsi="Arial" w:cs="Arial"/>
          <w:b/>
          <w:sz w:val="24"/>
          <w:szCs w:val="24"/>
        </w:rPr>
      </w:pPr>
      <w:r w:rsidRPr="009913B8">
        <w:rPr>
          <w:rFonts w:ascii="Arial" w:hAnsi="Arial" w:cs="Arial"/>
          <w:b/>
          <w:sz w:val="24"/>
          <w:szCs w:val="24"/>
        </w:rPr>
        <w:t xml:space="preserve">¿Qué recursos se articulan en la gestión </w:t>
      </w:r>
      <w:r>
        <w:rPr>
          <w:rFonts w:ascii="Arial" w:hAnsi="Arial" w:cs="Arial"/>
          <w:b/>
          <w:sz w:val="24"/>
          <w:szCs w:val="24"/>
        </w:rPr>
        <w:t>estrategia?</w:t>
      </w:r>
    </w:p>
    <w:p w:rsidR="009913B8" w:rsidRPr="009913B8" w:rsidRDefault="009913B8" w:rsidP="009913B8">
      <w:pPr>
        <w:pStyle w:val="Prrafodelista"/>
        <w:numPr>
          <w:ilvl w:val="0"/>
          <w:numId w:val="3"/>
        </w:numPr>
        <w:tabs>
          <w:tab w:val="left" w:pos="5509"/>
        </w:tabs>
        <w:rPr>
          <w:rFonts w:ascii="Arial" w:hAnsi="Arial" w:cs="Arial"/>
          <w:sz w:val="24"/>
          <w:szCs w:val="24"/>
        </w:rPr>
      </w:pPr>
      <w:r w:rsidRPr="009913B8">
        <w:rPr>
          <w:rFonts w:ascii="Arial" w:hAnsi="Arial" w:cs="Arial"/>
          <w:sz w:val="24"/>
          <w:szCs w:val="24"/>
        </w:rPr>
        <w:t>Técnicos, humanos y naturales.</w:t>
      </w:r>
    </w:p>
    <w:p w:rsidR="009913B8" w:rsidRDefault="009913B8" w:rsidP="009913B8">
      <w:pPr>
        <w:pStyle w:val="Prrafodelista"/>
        <w:numPr>
          <w:ilvl w:val="0"/>
          <w:numId w:val="3"/>
        </w:numPr>
        <w:tabs>
          <w:tab w:val="left" w:pos="5509"/>
        </w:tabs>
        <w:rPr>
          <w:rFonts w:ascii="Arial" w:hAnsi="Arial" w:cs="Arial"/>
          <w:sz w:val="24"/>
          <w:szCs w:val="24"/>
        </w:rPr>
      </w:pPr>
      <w:r w:rsidRPr="009913B8">
        <w:rPr>
          <w:rFonts w:ascii="Arial" w:hAnsi="Arial" w:cs="Arial"/>
          <w:sz w:val="24"/>
          <w:szCs w:val="24"/>
        </w:rPr>
        <w:t>Naturales, militares, humanos y técnicos.</w:t>
      </w:r>
    </w:p>
    <w:p w:rsidR="009913B8" w:rsidRDefault="009913B8" w:rsidP="009913B8">
      <w:pPr>
        <w:pStyle w:val="Prrafodelista"/>
        <w:numPr>
          <w:ilvl w:val="0"/>
          <w:numId w:val="3"/>
        </w:numPr>
        <w:tabs>
          <w:tab w:val="left" w:pos="5509"/>
        </w:tabs>
        <w:rPr>
          <w:rFonts w:ascii="Arial" w:hAnsi="Arial" w:cs="Arial"/>
          <w:sz w:val="24"/>
          <w:szCs w:val="24"/>
        </w:rPr>
      </w:pPr>
      <w:r w:rsidRPr="009913B8">
        <w:rPr>
          <w:rFonts w:ascii="Arial" w:hAnsi="Arial" w:cs="Arial"/>
          <w:sz w:val="24"/>
          <w:szCs w:val="24"/>
          <w:highlight w:val="yellow"/>
        </w:rPr>
        <w:t>humanos, técnicos, materiales y financieros.</w:t>
      </w:r>
    </w:p>
    <w:p w:rsidR="009913B8" w:rsidRDefault="009913B8" w:rsidP="009913B8">
      <w:pPr>
        <w:pStyle w:val="Prrafodelista"/>
        <w:tabs>
          <w:tab w:val="left" w:pos="5509"/>
        </w:tabs>
        <w:rPr>
          <w:rFonts w:ascii="Arial" w:hAnsi="Arial" w:cs="Arial"/>
          <w:sz w:val="24"/>
          <w:szCs w:val="24"/>
        </w:rPr>
      </w:pPr>
    </w:p>
    <w:p w:rsidR="009913B8" w:rsidRPr="009913B8" w:rsidRDefault="009913B8" w:rsidP="009913B8">
      <w:pPr>
        <w:pStyle w:val="Prrafodelista"/>
        <w:tabs>
          <w:tab w:val="left" w:pos="5509"/>
        </w:tabs>
        <w:rPr>
          <w:rFonts w:ascii="Arial" w:hAnsi="Arial" w:cs="Arial"/>
          <w:b/>
          <w:sz w:val="24"/>
          <w:szCs w:val="24"/>
        </w:rPr>
      </w:pPr>
    </w:p>
    <w:p w:rsidR="00F4026C" w:rsidRDefault="009913B8" w:rsidP="009913B8">
      <w:pPr>
        <w:tabs>
          <w:tab w:val="left" w:pos="5509"/>
        </w:tabs>
        <w:rPr>
          <w:rFonts w:ascii="Arial" w:hAnsi="Arial" w:cs="Arial"/>
          <w:b/>
          <w:sz w:val="24"/>
          <w:szCs w:val="24"/>
        </w:rPr>
      </w:pPr>
      <w:r w:rsidRPr="009913B8">
        <w:rPr>
          <w:rFonts w:ascii="Arial" w:hAnsi="Arial" w:cs="Arial"/>
          <w:b/>
          <w:sz w:val="24"/>
          <w:szCs w:val="24"/>
        </w:rPr>
        <w:t>En  que se centraron las reformas educativas de los años 90´s</w:t>
      </w:r>
    </w:p>
    <w:p w:rsidR="009913B8" w:rsidRPr="00F4026C" w:rsidRDefault="00F4026C" w:rsidP="009913B8">
      <w:pPr>
        <w:tabs>
          <w:tab w:val="left" w:pos="5509"/>
        </w:tabs>
        <w:rPr>
          <w:rFonts w:ascii="Arial" w:hAnsi="Arial" w:cs="Arial"/>
          <w:b/>
          <w:sz w:val="24"/>
          <w:szCs w:val="24"/>
        </w:rPr>
      </w:pPr>
      <w:r>
        <w:rPr>
          <w:rFonts w:ascii="Arial" w:hAnsi="Arial" w:cs="Arial"/>
          <w:b/>
          <w:sz w:val="24"/>
          <w:szCs w:val="24"/>
        </w:rPr>
        <w:t xml:space="preserve">     </w:t>
      </w:r>
      <w:r w:rsidR="009913B8">
        <w:rPr>
          <w:rFonts w:ascii="Arial" w:hAnsi="Arial" w:cs="Arial"/>
          <w:sz w:val="24"/>
          <w:szCs w:val="24"/>
        </w:rPr>
        <w:t xml:space="preserve">a) La mejora de los aprendizajes. </w:t>
      </w:r>
    </w:p>
    <w:p w:rsidR="009913B8" w:rsidRDefault="00F4026C" w:rsidP="009913B8">
      <w:pPr>
        <w:tabs>
          <w:tab w:val="left" w:pos="5509"/>
        </w:tabs>
        <w:rPr>
          <w:rFonts w:ascii="Arial" w:hAnsi="Arial" w:cs="Arial"/>
          <w:sz w:val="24"/>
          <w:szCs w:val="24"/>
        </w:rPr>
      </w:pPr>
      <w:r>
        <w:rPr>
          <w:rFonts w:ascii="Arial" w:hAnsi="Arial" w:cs="Arial"/>
          <w:sz w:val="24"/>
          <w:szCs w:val="24"/>
          <w:highlight w:val="yellow"/>
        </w:rPr>
        <w:t xml:space="preserve">     </w:t>
      </w:r>
      <w:r w:rsidR="009913B8" w:rsidRPr="009913B8">
        <w:rPr>
          <w:rFonts w:ascii="Arial" w:hAnsi="Arial" w:cs="Arial"/>
          <w:sz w:val="24"/>
          <w:szCs w:val="24"/>
          <w:highlight w:val="yellow"/>
        </w:rPr>
        <w:t>b) En la gestión educativa</w:t>
      </w:r>
      <w:r w:rsidR="009913B8">
        <w:rPr>
          <w:rFonts w:ascii="Arial" w:hAnsi="Arial" w:cs="Arial"/>
          <w:sz w:val="24"/>
          <w:szCs w:val="24"/>
        </w:rPr>
        <w:t xml:space="preserve">. </w:t>
      </w:r>
    </w:p>
    <w:p w:rsidR="009913B8" w:rsidRPr="009913B8" w:rsidRDefault="00F4026C" w:rsidP="009913B8">
      <w:pPr>
        <w:tabs>
          <w:tab w:val="left" w:pos="5509"/>
        </w:tabs>
        <w:rPr>
          <w:rFonts w:ascii="Arial" w:hAnsi="Arial" w:cs="Arial"/>
          <w:sz w:val="24"/>
          <w:szCs w:val="24"/>
        </w:rPr>
      </w:pPr>
      <w:r>
        <w:rPr>
          <w:rFonts w:ascii="Arial" w:hAnsi="Arial" w:cs="Arial"/>
          <w:sz w:val="24"/>
          <w:szCs w:val="24"/>
        </w:rPr>
        <w:t xml:space="preserve">     </w:t>
      </w:r>
      <w:r w:rsidR="009913B8">
        <w:rPr>
          <w:rFonts w:ascii="Arial" w:hAnsi="Arial" w:cs="Arial"/>
          <w:sz w:val="24"/>
          <w:szCs w:val="24"/>
        </w:rPr>
        <w:t>c) Mejora de la infraestructura.</w:t>
      </w:r>
    </w:p>
    <w:p w:rsidR="009913B8" w:rsidRPr="009913B8" w:rsidRDefault="009913B8" w:rsidP="00E15ACF">
      <w:pPr>
        <w:tabs>
          <w:tab w:val="left" w:pos="5509"/>
        </w:tabs>
        <w:rPr>
          <w:rFonts w:ascii="Arial" w:hAnsi="Arial" w:cs="Arial"/>
          <w:b/>
          <w:sz w:val="24"/>
          <w:szCs w:val="24"/>
        </w:rPr>
      </w:pPr>
    </w:p>
    <w:sectPr w:rsidR="009913B8" w:rsidRPr="009913B8" w:rsidSect="00ED709A">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D2" w:rsidRDefault="00871FD2" w:rsidP="00ED709A">
      <w:pPr>
        <w:spacing w:after="0" w:line="240" w:lineRule="auto"/>
      </w:pPr>
      <w:r>
        <w:separator/>
      </w:r>
    </w:p>
  </w:endnote>
  <w:endnote w:type="continuationSeparator" w:id="0">
    <w:p w:rsidR="00871FD2" w:rsidRDefault="00871FD2" w:rsidP="00ED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D2" w:rsidRDefault="00871FD2" w:rsidP="00ED709A">
      <w:pPr>
        <w:spacing w:after="0" w:line="240" w:lineRule="auto"/>
      </w:pPr>
      <w:r>
        <w:separator/>
      </w:r>
    </w:p>
  </w:footnote>
  <w:footnote w:type="continuationSeparator" w:id="0">
    <w:p w:rsidR="00871FD2" w:rsidRDefault="00871FD2" w:rsidP="00ED7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E473B"/>
    <w:multiLevelType w:val="hybridMultilevel"/>
    <w:tmpl w:val="CFA482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7322ED"/>
    <w:multiLevelType w:val="hybridMultilevel"/>
    <w:tmpl w:val="087CE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072985"/>
    <w:multiLevelType w:val="hybridMultilevel"/>
    <w:tmpl w:val="7046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B612D4"/>
    <w:multiLevelType w:val="hybridMultilevel"/>
    <w:tmpl w:val="8440EBD4"/>
    <w:lvl w:ilvl="0" w:tplc="5A1C4F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7855"/>
    <w:rsid w:val="002E6686"/>
    <w:rsid w:val="003D1377"/>
    <w:rsid w:val="003F2797"/>
    <w:rsid w:val="00580A4A"/>
    <w:rsid w:val="00606C13"/>
    <w:rsid w:val="00615357"/>
    <w:rsid w:val="0067079F"/>
    <w:rsid w:val="006A2E8C"/>
    <w:rsid w:val="006D2E1E"/>
    <w:rsid w:val="00737855"/>
    <w:rsid w:val="00871FD2"/>
    <w:rsid w:val="009913B8"/>
    <w:rsid w:val="00C942D7"/>
    <w:rsid w:val="00D919CA"/>
    <w:rsid w:val="00E15ACF"/>
    <w:rsid w:val="00EB286F"/>
    <w:rsid w:val="00ED709A"/>
    <w:rsid w:val="00F2340B"/>
    <w:rsid w:val="00F40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044DC5D-7B1D-4575-BAAC-B23F13C7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378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D2E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E1E"/>
    <w:rPr>
      <w:rFonts w:ascii="Tahoma" w:hAnsi="Tahoma" w:cs="Tahoma"/>
      <w:sz w:val="16"/>
      <w:szCs w:val="16"/>
    </w:rPr>
  </w:style>
  <w:style w:type="paragraph" w:styleId="Prrafodelista">
    <w:name w:val="List Paragraph"/>
    <w:basedOn w:val="Normal"/>
    <w:uiPriority w:val="34"/>
    <w:qFormat/>
    <w:rsid w:val="006D2E1E"/>
    <w:pPr>
      <w:ind w:left="720"/>
      <w:contextualSpacing/>
    </w:pPr>
  </w:style>
  <w:style w:type="paragraph" w:styleId="Encabezado">
    <w:name w:val="header"/>
    <w:basedOn w:val="Normal"/>
    <w:link w:val="EncabezadoCar"/>
    <w:uiPriority w:val="99"/>
    <w:semiHidden/>
    <w:unhideWhenUsed/>
    <w:rsid w:val="00ED70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D709A"/>
  </w:style>
  <w:style w:type="paragraph" w:styleId="Piedepgina">
    <w:name w:val="footer"/>
    <w:basedOn w:val="Normal"/>
    <w:link w:val="PiedepginaCar"/>
    <w:uiPriority w:val="99"/>
    <w:semiHidden/>
    <w:unhideWhenUsed/>
    <w:rsid w:val="00ED70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D709A"/>
  </w:style>
  <w:style w:type="paragraph" w:styleId="Textoindependiente">
    <w:name w:val="Body Text"/>
    <w:basedOn w:val="Normal"/>
    <w:link w:val="TextoindependienteCar"/>
    <w:uiPriority w:val="99"/>
    <w:semiHidden/>
    <w:unhideWhenUsed/>
    <w:rsid w:val="00D919CA"/>
    <w:pPr>
      <w:spacing w:after="120"/>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semiHidden/>
    <w:rsid w:val="00D919CA"/>
    <w:rPr>
      <w:rFonts w:ascii="Calibri" w:eastAsia="Calibri" w:hAnsi="Calibri" w:cs="Times New Roman"/>
      <w:lang w:val="es-ES"/>
    </w:rPr>
  </w:style>
  <w:style w:type="paragraph" w:styleId="Sinespaciado">
    <w:name w:val="No Spacing"/>
    <w:uiPriority w:val="1"/>
    <w:qFormat/>
    <w:rsid w:val="00D91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6C04C-F6CC-41D5-937C-F5D8B0CC0B6E}" type="doc">
      <dgm:prSet loTypeId="urn:microsoft.com/office/officeart/2005/8/layout/arrow2" loCatId="process" qsTypeId="urn:microsoft.com/office/officeart/2005/8/quickstyle/simple1" qsCatId="simple" csTypeId="urn:microsoft.com/office/officeart/2005/8/colors/colorful1" csCatId="colorful" phldr="1"/>
      <dgm:spPr/>
      <dgm:t>
        <a:bodyPr/>
        <a:lstStyle/>
        <a:p>
          <a:endParaRPr lang="es-MX"/>
        </a:p>
      </dgm:t>
    </dgm:pt>
    <dgm:pt modelId="{AAD5173E-6455-418A-9666-F5096AB60967}">
      <dgm:prSet phldrT="[Texto]"/>
      <dgm:spPr/>
      <dgm:t>
        <a:bodyPr/>
        <a:lstStyle/>
        <a:p>
          <a:r>
            <a:rPr lang="es-MX"/>
            <a:t>70s</a:t>
          </a:r>
        </a:p>
      </dgm:t>
    </dgm:pt>
    <dgm:pt modelId="{37897415-09F1-4C49-B8D6-BF438841672D}" type="parTrans" cxnId="{DF8FB576-C316-4BD0-B4D0-F9C08B5BA1EB}">
      <dgm:prSet/>
      <dgm:spPr/>
      <dgm:t>
        <a:bodyPr/>
        <a:lstStyle/>
        <a:p>
          <a:endParaRPr lang="es-MX"/>
        </a:p>
      </dgm:t>
    </dgm:pt>
    <dgm:pt modelId="{96A05786-2344-407E-8E89-C74E797A945D}" type="sibTrans" cxnId="{DF8FB576-C316-4BD0-B4D0-F9C08B5BA1EB}">
      <dgm:prSet/>
      <dgm:spPr/>
      <dgm:t>
        <a:bodyPr/>
        <a:lstStyle/>
        <a:p>
          <a:endParaRPr lang="es-MX"/>
        </a:p>
      </dgm:t>
    </dgm:pt>
    <dgm:pt modelId="{891CEBE8-8B5F-4D94-B4CA-EC99481A6EF4}">
      <dgm:prSet phldrT="[Texto]"/>
      <dgm:spPr/>
      <dgm:t>
        <a:bodyPr/>
        <a:lstStyle/>
        <a:p>
          <a:r>
            <a:rPr lang="es-MX"/>
            <a:t>La visión "normativa". </a:t>
          </a:r>
        </a:p>
      </dgm:t>
    </dgm:pt>
    <dgm:pt modelId="{2FE13440-EECF-42F5-86F9-A39E7CA44F1C}" type="parTrans" cxnId="{8C9AD8AF-BB72-4A6F-A44E-EBF1DB2F77FF}">
      <dgm:prSet/>
      <dgm:spPr/>
      <dgm:t>
        <a:bodyPr/>
        <a:lstStyle/>
        <a:p>
          <a:endParaRPr lang="es-MX"/>
        </a:p>
      </dgm:t>
    </dgm:pt>
    <dgm:pt modelId="{3C95B228-8747-4BEE-B959-9D4C7573C3AA}" type="sibTrans" cxnId="{8C9AD8AF-BB72-4A6F-A44E-EBF1DB2F77FF}">
      <dgm:prSet/>
      <dgm:spPr/>
      <dgm:t>
        <a:bodyPr/>
        <a:lstStyle/>
        <a:p>
          <a:endParaRPr lang="es-MX"/>
        </a:p>
      </dgm:t>
    </dgm:pt>
    <dgm:pt modelId="{E7422C38-98FD-4039-A4CF-4E29E65C79BA}">
      <dgm:prSet phldrT="[Texto]"/>
      <dgm:spPr/>
      <dgm:t>
        <a:bodyPr/>
        <a:lstStyle/>
        <a:p>
          <a:r>
            <a:rPr lang="es-MX"/>
            <a:t>Estudios comparativos y de programas regionales</a:t>
          </a:r>
        </a:p>
      </dgm:t>
    </dgm:pt>
    <dgm:pt modelId="{E781663F-13E0-4663-B631-5A12384A6F6B}" type="parTrans" cxnId="{BC8949FB-0278-441C-8566-FE33364E854B}">
      <dgm:prSet/>
      <dgm:spPr/>
      <dgm:t>
        <a:bodyPr/>
        <a:lstStyle/>
        <a:p>
          <a:endParaRPr lang="es-MX"/>
        </a:p>
      </dgm:t>
    </dgm:pt>
    <dgm:pt modelId="{B44004FF-9C25-4549-BBD4-E9BA992E84A6}" type="sibTrans" cxnId="{BC8949FB-0278-441C-8566-FE33364E854B}">
      <dgm:prSet/>
      <dgm:spPr/>
      <dgm:t>
        <a:bodyPr/>
        <a:lstStyle/>
        <a:p>
          <a:endParaRPr lang="es-MX"/>
        </a:p>
      </dgm:t>
    </dgm:pt>
    <dgm:pt modelId="{39DF26F1-1D66-4951-8EAE-A2EC368DBB37}">
      <dgm:prSet phldrT="[Texto]"/>
      <dgm:spPr/>
      <dgm:t>
        <a:bodyPr/>
        <a:lstStyle/>
        <a:p>
          <a:r>
            <a:rPr lang="es-MX"/>
            <a:t>80s</a:t>
          </a:r>
        </a:p>
      </dgm:t>
    </dgm:pt>
    <dgm:pt modelId="{540A6760-A51E-4AE9-B366-46270F45E8BB}" type="parTrans" cxnId="{E4B8F370-D008-4342-B457-7EFA5FFB4C1A}">
      <dgm:prSet/>
      <dgm:spPr/>
      <dgm:t>
        <a:bodyPr/>
        <a:lstStyle/>
        <a:p>
          <a:endParaRPr lang="es-MX"/>
        </a:p>
      </dgm:t>
    </dgm:pt>
    <dgm:pt modelId="{8EF12408-A065-4671-8E71-0C7E0AE0569A}" type="sibTrans" cxnId="{E4B8F370-D008-4342-B457-7EFA5FFB4C1A}">
      <dgm:prSet/>
      <dgm:spPr/>
      <dgm:t>
        <a:bodyPr/>
        <a:lstStyle/>
        <a:p>
          <a:endParaRPr lang="es-MX"/>
        </a:p>
      </dgm:t>
    </dgm:pt>
    <dgm:pt modelId="{3B16EB17-E5F5-4BEE-8834-5734C251EB6D}">
      <dgm:prSet phldrT="[Texto]"/>
      <dgm:spPr/>
      <dgm:t>
        <a:bodyPr/>
        <a:lstStyle/>
        <a:p>
          <a:r>
            <a:rPr lang="es-MX"/>
            <a:t>La gestión estratégica </a:t>
          </a:r>
        </a:p>
      </dgm:t>
    </dgm:pt>
    <dgm:pt modelId="{641147E1-6B31-4FAB-BE75-776A27FE6675}" type="parTrans" cxnId="{A9D94230-D140-4E16-819F-10D638921A43}">
      <dgm:prSet/>
      <dgm:spPr/>
      <dgm:t>
        <a:bodyPr/>
        <a:lstStyle/>
        <a:p>
          <a:endParaRPr lang="es-MX"/>
        </a:p>
      </dgm:t>
    </dgm:pt>
    <dgm:pt modelId="{D7C9C46B-4851-4B32-B0B3-A01958DC9310}" type="sibTrans" cxnId="{A9D94230-D140-4E16-819F-10D638921A43}">
      <dgm:prSet/>
      <dgm:spPr/>
      <dgm:t>
        <a:bodyPr/>
        <a:lstStyle/>
        <a:p>
          <a:endParaRPr lang="es-MX"/>
        </a:p>
      </dgm:t>
    </dgm:pt>
    <dgm:pt modelId="{0D94C287-A205-4563-8EB1-DEFC18A196CB}">
      <dgm:prSet phldrT="[Texto]"/>
      <dgm:spPr/>
      <dgm:t>
        <a:bodyPr/>
        <a:lstStyle/>
        <a:p>
          <a:r>
            <a:rPr lang="es-MX"/>
            <a:t>Administración a  gestión</a:t>
          </a:r>
        </a:p>
      </dgm:t>
    </dgm:pt>
    <dgm:pt modelId="{E13AA0FD-82A4-464A-947D-24EE798E0807}" type="parTrans" cxnId="{20D980B5-F002-4109-A712-5BC22548811D}">
      <dgm:prSet/>
      <dgm:spPr/>
      <dgm:t>
        <a:bodyPr/>
        <a:lstStyle/>
        <a:p>
          <a:endParaRPr lang="es-MX"/>
        </a:p>
      </dgm:t>
    </dgm:pt>
    <dgm:pt modelId="{F5D4B2BA-7AAF-465D-9E5F-7CB59B90CF32}" type="sibTrans" cxnId="{20D980B5-F002-4109-A712-5BC22548811D}">
      <dgm:prSet/>
      <dgm:spPr/>
      <dgm:t>
        <a:bodyPr/>
        <a:lstStyle/>
        <a:p>
          <a:endParaRPr lang="es-MX"/>
        </a:p>
      </dgm:t>
    </dgm:pt>
    <dgm:pt modelId="{9D523578-9D9A-49FC-A8E1-7372217F1DFC}">
      <dgm:prSet phldrT="[Texto]"/>
      <dgm:spPr/>
      <dgm:t>
        <a:bodyPr/>
        <a:lstStyle/>
        <a:p>
          <a:r>
            <a:rPr lang="es-MX"/>
            <a:t>90s</a:t>
          </a:r>
        </a:p>
      </dgm:t>
    </dgm:pt>
    <dgm:pt modelId="{E13B1116-9EDA-49D1-B0DA-D6F22BB66F5C}" type="parTrans" cxnId="{5C368710-9D2C-46A9-BBD1-3BB505DBD517}">
      <dgm:prSet/>
      <dgm:spPr/>
      <dgm:t>
        <a:bodyPr/>
        <a:lstStyle/>
        <a:p>
          <a:endParaRPr lang="es-MX"/>
        </a:p>
      </dgm:t>
    </dgm:pt>
    <dgm:pt modelId="{4A7A5A7C-F8A5-41CA-8CE8-B8C24BA40F64}" type="sibTrans" cxnId="{5C368710-9D2C-46A9-BBD1-3BB505DBD517}">
      <dgm:prSet/>
      <dgm:spPr/>
      <dgm:t>
        <a:bodyPr/>
        <a:lstStyle/>
        <a:p>
          <a:endParaRPr lang="es-MX"/>
        </a:p>
      </dgm:t>
    </dgm:pt>
    <dgm:pt modelId="{B3C1B111-E4F5-43A5-A2A9-672CCC62882D}">
      <dgm:prSet phldrT="[Texto]"/>
      <dgm:spPr/>
      <dgm:t>
        <a:bodyPr/>
        <a:lstStyle/>
        <a:p>
          <a:r>
            <a:rPr lang="es-MX"/>
            <a:t>planificación ygestión en la educación.</a:t>
          </a:r>
        </a:p>
      </dgm:t>
    </dgm:pt>
    <dgm:pt modelId="{C0AF9436-7A61-4DFD-ACC8-5A19C1A0C08F}" type="parTrans" cxnId="{A5E9CC40-4185-4209-BABB-ECCBCAE850F7}">
      <dgm:prSet/>
      <dgm:spPr/>
      <dgm:t>
        <a:bodyPr/>
        <a:lstStyle/>
        <a:p>
          <a:endParaRPr lang="es-MX"/>
        </a:p>
      </dgm:t>
    </dgm:pt>
    <dgm:pt modelId="{C8173C97-87CD-455B-9695-0B87E3D8E3A7}" type="sibTrans" cxnId="{A5E9CC40-4185-4209-BABB-ECCBCAE850F7}">
      <dgm:prSet/>
      <dgm:spPr/>
      <dgm:t>
        <a:bodyPr/>
        <a:lstStyle/>
        <a:p>
          <a:endParaRPr lang="es-MX"/>
        </a:p>
      </dgm:t>
    </dgm:pt>
    <dgm:pt modelId="{D66A9F66-5448-4391-95C2-47389DB14B6B}">
      <dgm:prSet phldrT="[Texto]"/>
      <dgm:spPr/>
      <dgm:t>
        <a:bodyPr/>
        <a:lstStyle/>
        <a:p>
          <a:r>
            <a:rPr lang="es-MX"/>
            <a:t>Acuerdos y consensos sociales.</a:t>
          </a:r>
        </a:p>
      </dgm:t>
    </dgm:pt>
    <dgm:pt modelId="{CBB7732C-164B-4835-829E-2811FA09F1C8}" type="parTrans" cxnId="{FDCF406E-2390-4EDF-9E80-D0F7674F2552}">
      <dgm:prSet/>
      <dgm:spPr/>
      <dgm:t>
        <a:bodyPr/>
        <a:lstStyle/>
        <a:p>
          <a:endParaRPr lang="es-MX"/>
        </a:p>
      </dgm:t>
    </dgm:pt>
    <dgm:pt modelId="{AE743889-47B7-4D9A-A3F5-23DAA5140F8A}" type="sibTrans" cxnId="{FDCF406E-2390-4EDF-9E80-D0F7674F2552}">
      <dgm:prSet/>
      <dgm:spPr/>
      <dgm:t>
        <a:bodyPr/>
        <a:lstStyle/>
        <a:p>
          <a:endParaRPr lang="es-MX"/>
        </a:p>
      </dgm:t>
    </dgm:pt>
    <dgm:pt modelId="{D8980B71-2C9D-4002-AB9E-597D4AE14B29}">
      <dgm:prSet phldrT="[Texto]"/>
      <dgm:spPr/>
      <dgm:t>
        <a:bodyPr/>
        <a:lstStyle/>
        <a:p>
          <a:r>
            <a:rPr lang="es-MX"/>
            <a:t>1988 "Planning as learning"</a:t>
          </a:r>
        </a:p>
      </dgm:t>
    </dgm:pt>
    <dgm:pt modelId="{40EEAFA4-9D30-47D9-8E59-0BAFEABA84C5}" type="parTrans" cxnId="{7517909A-7D47-4386-8D46-0EF1C6AE2E60}">
      <dgm:prSet/>
      <dgm:spPr/>
      <dgm:t>
        <a:bodyPr/>
        <a:lstStyle/>
        <a:p>
          <a:endParaRPr lang="es-MX"/>
        </a:p>
      </dgm:t>
    </dgm:pt>
    <dgm:pt modelId="{E008089F-CA46-4106-B219-3DCB87B151FC}" type="sibTrans" cxnId="{7517909A-7D47-4386-8D46-0EF1C6AE2E60}">
      <dgm:prSet/>
      <dgm:spPr/>
      <dgm:t>
        <a:bodyPr/>
        <a:lstStyle/>
        <a:p>
          <a:endParaRPr lang="es-MX"/>
        </a:p>
      </dgm:t>
    </dgm:pt>
    <dgm:pt modelId="{7A1B95D9-5DAB-41B4-BC80-BF2F52B2EBE7}">
      <dgm:prSet phldrT="[Texto]"/>
      <dgm:spPr/>
      <dgm:t>
        <a:bodyPr/>
        <a:lstStyle/>
        <a:p>
          <a:r>
            <a:rPr lang="es-MX"/>
            <a:t>El análisis de tipo FODA</a:t>
          </a:r>
        </a:p>
      </dgm:t>
    </dgm:pt>
    <dgm:pt modelId="{FEFF1B68-F418-473B-9875-2B693C3BF915}" type="parTrans" cxnId="{66EEAD00-804B-4698-A1C9-2EBF001923E3}">
      <dgm:prSet/>
      <dgm:spPr/>
      <dgm:t>
        <a:bodyPr/>
        <a:lstStyle/>
        <a:p>
          <a:endParaRPr lang="es-MX"/>
        </a:p>
      </dgm:t>
    </dgm:pt>
    <dgm:pt modelId="{D2E63C28-E4CE-4C73-92C4-B34BD146D848}" type="sibTrans" cxnId="{66EEAD00-804B-4698-A1C9-2EBF001923E3}">
      <dgm:prSet/>
      <dgm:spPr/>
      <dgm:t>
        <a:bodyPr/>
        <a:lstStyle/>
        <a:p>
          <a:endParaRPr lang="es-MX"/>
        </a:p>
      </dgm:t>
    </dgm:pt>
    <dgm:pt modelId="{0E9A0EB8-328F-4991-92E1-C9E8CCFF6FB6}">
      <dgm:prSet phldrT="[Texto]"/>
      <dgm:spPr/>
      <dgm:t>
        <a:bodyPr/>
        <a:lstStyle/>
        <a:p>
          <a:r>
            <a:rPr lang="es-MX"/>
            <a:t>perpectiva estretegica de calidad total.</a:t>
          </a:r>
        </a:p>
      </dgm:t>
    </dgm:pt>
    <dgm:pt modelId="{2D50A0B8-3529-4973-A2AC-2BD950D14C5A}" type="parTrans" cxnId="{644FA9A1-F50A-4FA6-9DE8-37E2CB035F4F}">
      <dgm:prSet/>
      <dgm:spPr/>
      <dgm:t>
        <a:bodyPr/>
        <a:lstStyle/>
        <a:p>
          <a:endParaRPr lang="es-MX"/>
        </a:p>
      </dgm:t>
    </dgm:pt>
    <dgm:pt modelId="{65054062-2D65-4E98-AB71-0940BA9D0D62}" type="sibTrans" cxnId="{644FA9A1-F50A-4FA6-9DE8-37E2CB035F4F}">
      <dgm:prSet/>
      <dgm:spPr/>
      <dgm:t>
        <a:bodyPr/>
        <a:lstStyle/>
        <a:p>
          <a:endParaRPr lang="es-MX"/>
        </a:p>
      </dgm:t>
    </dgm:pt>
    <dgm:pt modelId="{CC5EDACD-55BA-4EE5-ACEE-E058E92E1DEF}">
      <dgm:prSet phldrT="[Texto]"/>
      <dgm:spPr/>
      <dgm:t>
        <a:bodyPr/>
        <a:lstStyle/>
        <a:p>
          <a:r>
            <a:rPr lang="es-MX"/>
            <a:t>Tipo A y tipo B</a:t>
          </a:r>
        </a:p>
      </dgm:t>
    </dgm:pt>
    <dgm:pt modelId="{258A5CE8-8311-4E06-872B-89A206321EB4}" type="parTrans" cxnId="{4C9ACED2-65A1-48A5-A342-E8E45CB0E97D}">
      <dgm:prSet/>
      <dgm:spPr/>
      <dgm:t>
        <a:bodyPr/>
        <a:lstStyle/>
        <a:p>
          <a:endParaRPr lang="es-MX"/>
        </a:p>
      </dgm:t>
    </dgm:pt>
    <dgm:pt modelId="{52B92FB3-2A21-44C1-ABC5-E0A12735EC89}" type="sibTrans" cxnId="{4C9ACED2-65A1-48A5-A342-E8E45CB0E97D}">
      <dgm:prSet/>
      <dgm:spPr/>
      <dgm:t>
        <a:bodyPr/>
        <a:lstStyle/>
        <a:p>
          <a:endParaRPr lang="es-MX"/>
        </a:p>
      </dgm:t>
    </dgm:pt>
    <dgm:pt modelId="{0C7649D5-80A0-47D5-A0A8-D1FAC0AF1F95}" type="pres">
      <dgm:prSet presAssocID="{75C6C04C-F6CC-41D5-937C-F5D8B0CC0B6E}" presName="arrowDiagram" presStyleCnt="0">
        <dgm:presLayoutVars>
          <dgm:chMax val="5"/>
          <dgm:dir/>
          <dgm:resizeHandles val="exact"/>
        </dgm:presLayoutVars>
      </dgm:prSet>
      <dgm:spPr/>
      <dgm:t>
        <a:bodyPr/>
        <a:lstStyle/>
        <a:p>
          <a:endParaRPr lang="es-MX"/>
        </a:p>
      </dgm:t>
    </dgm:pt>
    <dgm:pt modelId="{BE38E62D-869C-4A7F-BD77-A9ACBA8A6CF9}" type="pres">
      <dgm:prSet presAssocID="{75C6C04C-F6CC-41D5-937C-F5D8B0CC0B6E}" presName="arrow" presStyleLbl="bgShp" presStyleIdx="0" presStyleCnt="1"/>
      <dgm:spPr/>
      <dgm:t>
        <a:bodyPr/>
        <a:lstStyle/>
        <a:p>
          <a:endParaRPr lang="es-MX"/>
        </a:p>
      </dgm:t>
    </dgm:pt>
    <dgm:pt modelId="{4E4AA9DB-C25E-4B94-A6D4-8AD61BEB8EBE}" type="pres">
      <dgm:prSet presAssocID="{75C6C04C-F6CC-41D5-937C-F5D8B0CC0B6E}" presName="arrowDiagram3" presStyleCnt="0"/>
      <dgm:spPr/>
      <dgm:t>
        <a:bodyPr/>
        <a:lstStyle/>
        <a:p>
          <a:endParaRPr lang="es-MX"/>
        </a:p>
      </dgm:t>
    </dgm:pt>
    <dgm:pt modelId="{AF04E207-8BE5-45A4-A2F8-5CE176B948D1}" type="pres">
      <dgm:prSet presAssocID="{AAD5173E-6455-418A-9666-F5096AB60967}" presName="bullet3a" presStyleLbl="node1" presStyleIdx="0" presStyleCnt="3"/>
      <dgm:spPr/>
      <dgm:t>
        <a:bodyPr/>
        <a:lstStyle/>
        <a:p>
          <a:endParaRPr lang="es-MX"/>
        </a:p>
      </dgm:t>
    </dgm:pt>
    <dgm:pt modelId="{49D28A10-7F5D-4E73-8E62-5E110E4707D4}" type="pres">
      <dgm:prSet presAssocID="{AAD5173E-6455-418A-9666-F5096AB60967}" presName="textBox3a" presStyleLbl="revTx" presStyleIdx="0" presStyleCnt="3">
        <dgm:presLayoutVars>
          <dgm:bulletEnabled val="1"/>
        </dgm:presLayoutVars>
      </dgm:prSet>
      <dgm:spPr/>
      <dgm:t>
        <a:bodyPr/>
        <a:lstStyle/>
        <a:p>
          <a:endParaRPr lang="es-MX"/>
        </a:p>
      </dgm:t>
    </dgm:pt>
    <dgm:pt modelId="{A00AF179-754B-4398-AD85-3D07B889C9DA}" type="pres">
      <dgm:prSet presAssocID="{39DF26F1-1D66-4951-8EAE-A2EC368DBB37}" presName="bullet3b" presStyleLbl="node1" presStyleIdx="1" presStyleCnt="3"/>
      <dgm:spPr/>
      <dgm:t>
        <a:bodyPr/>
        <a:lstStyle/>
        <a:p>
          <a:endParaRPr lang="es-MX"/>
        </a:p>
      </dgm:t>
    </dgm:pt>
    <dgm:pt modelId="{7E708D94-DC7C-4A38-A6A4-33DC72FB6B71}" type="pres">
      <dgm:prSet presAssocID="{39DF26F1-1D66-4951-8EAE-A2EC368DBB37}" presName="textBox3b" presStyleLbl="revTx" presStyleIdx="1" presStyleCnt="3">
        <dgm:presLayoutVars>
          <dgm:bulletEnabled val="1"/>
        </dgm:presLayoutVars>
      </dgm:prSet>
      <dgm:spPr/>
      <dgm:t>
        <a:bodyPr/>
        <a:lstStyle/>
        <a:p>
          <a:endParaRPr lang="es-MX"/>
        </a:p>
      </dgm:t>
    </dgm:pt>
    <dgm:pt modelId="{B06CF347-45DC-494A-BCD9-EBF6B06B3AC0}" type="pres">
      <dgm:prSet presAssocID="{9D523578-9D9A-49FC-A8E1-7372217F1DFC}" presName="bullet3c" presStyleLbl="node1" presStyleIdx="2" presStyleCnt="3"/>
      <dgm:spPr/>
      <dgm:t>
        <a:bodyPr/>
        <a:lstStyle/>
        <a:p>
          <a:endParaRPr lang="es-MX"/>
        </a:p>
      </dgm:t>
    </dgm:pt>
    <dgm:pt modelId="{D6D2B876-2932-40B8-ACA4-38E5D58468BE}" type="pres">
      <dgm:prSet presAssocID="{9D523578-9D9A-49FC-A8E1-7372217F1DFC}" presName="textBox3c" presStyleLbl="revTx" presStyleIdx="2" presStyleCnt="3">
        <dgm:presLayoutVars>
          <dgm:bulletEnabled val="1"/>
        </dgm:presLayoutVars>
      </dgm:prSet>
      <dgm:spPr/>
      <dgm:t>
        <a:bodyPr/>
        <a:lstStyle/>
        <a:p>
          <a:endParaRPr lang="es-MX"/>
        </a:p>
      </dgm:t>
    </dgm:pt>
  </dgm:ptLst>
  <dgm:cxnLst>
    <dgm:cxn modelId="{D13790DD-CEB3-425F-9055-269ADFA139A7}" type="presOf" srcId="{D66A9F66-5448-4391-95C2-47389DB14B6B}" destId="{D6D2B876-2932-40B8-ACA4-38E5D58468BE}" srcOrd="0" destOrd="2" presId="urn:microsoft.com/office/officeart/2005/8/layout/arrow2"/>
    <dgm:cxn modelId="{8E31E788-0523-42B9-A0DC-604B69D5A2C2}" type="presOf" srcId="{7A1B95D9-5DAB-41B4-BC80-BF2F52B2EBE7}" destId="{7E708D94-DC7C-4A38-A6A4-33DC72FB6B71}" srcOrd="0" destOrd="2" presId="urn:microsoft.com/office/officeart/2005/8/layout/arrow2"/>
    <dgm:cxn modelId="{90A931FE-B5A4-4159-9CE7-64F578F8D6A1}" type="presOf" srcId="{9D523578-9D9A-49FC-A8E1-7372217F1DFC}" destId="{D6D2B876-2932-40B8-ACA4-38E5D58468BE}" srcOrd="0" destOrd="0" presId="urn:microsoft.com/office/officeart/2005/8/layout/arrow2"/>
    <dgm:cxn modelId="{912720B3-E396-4A70-B915-B7FEB5F4F521}" type="presOf" srcId="{CC5EDACD-55BA-4EE5-ACEE-E058E92E1DEF}" destId="{D6D2B876-2932-40B8-ACA4-38E5D58468BE}" srcOrd="0" destOrd="4" presId="urn:microsoft.com/office/officeart/2005/8/layout/arrow2"/>
    <dgm:cxn modelId="{A5E9CC40-4185-4209-BABB-ECCBCAE850F7}" srcId="{9D523578-9D9A-49FC-A8E1-7372217F1DFC}" destId="{B3C1B111-E4F5-43A5-A2A9-672CCC62882D}" srcOrd="0" destOrd="0" parTransId="{C0AF9436-7A61-4DFD-ACC8-5A19C1A0C08F}" sibTransId="{C8173C97-87CD-455B-9695-0B87E3D8E3A7}"/>
    <dgm:cxn modelId="{20D980B5-F002-4109-A712-5BC22548811D}" srcId="{39DF26F1-1D66-4951-8EAE-A2EC368DBB37}" destId="{0D94C287-A205-4563-8EB1-DEFC18A196CB}" srcOrd="2" destOrd="0" parTransId="{E13AA0FD-82A4-464A-947D-24EE798E0807}" sibTransId="{F5D4B2BA-7AAF-465D-9E5F-7CB59B90CF32}"/>
    <dgm:cxn modelId="{F6787724-28F4-45E5-9435-90315D432D12}" type="presOf" srcId="{39DF26F1-1D66-4951-8EAE-A2EC368DBB37}" destId="{7E708D94-DC7C-4A38-A6A4-33DC72FB6B71}" srcOrd="0" destOrd="0" presId="urn:microsoft.com/office/officeart/2005/8/layout/arrow2"/>
    <dgm:cxn modelId="{C71B86D1-9FC2-490F-ABAA-BA75082F4FF1}" type="presOf" srcId="{AAD5173E-6455-418A-9666-F5096AB60967}" destId="{49D28A10-7F5D-4E73-8E62-5E110E4707D4}" srcOrd="0" destOrd="0" presId="urn:microsoft.com/office/officeart/2005/8/layout/arrow2"/>
    <dgm:cxn modelId="{EBE9499C-8CFF-4CD1-BAEC-A9E71D5CC482}" type="presOf" srcId="{0D94C287-A205-4563-8EB1-DEFC18A196CB}" destId="{7E708D94-DC7C-4A38-A6A4-33DC72FB6B71}" srcOrd="0" destOrd="3" presId="urn:microsoft.com/office/officeart/2005/8/layout/arrow2"/>
    <dgm:cxn modelId="{7517909A-7D47-4386-8D46-0EF1C6AE2E60}" srcId="{39DF26F1-1D66-4951-8EAE-A2EC368DBB37}" destId="{D8980B71-2C9D-4002-AB9E-597D4AE14B29}" srcOrd="3" destOrd="0" parTransId="{40EEAFA4-9D30-47D9-8E59-0BAFEABA84C5}" sibTransId="{E008089F-CA46-4106-B219-3DCB87B151FC}"/>
    <dgm:cxn modelId="{56AE074E-A63D-4195-BEED-02587571B553}" type="presOf" srcId="{B3C1B111-E4F5-43A5-A2A9-672CCC62882D}" destId="{D6D2B876-2932-40B8-ACA4-38E5D58468BE}" srcOrd="0" destOrd="1" presId="urn:microsoft.com/office/officeart/2005/8/layout/arrow2"/>
    <dgm:cxn modelId="{7B98D461-8145-4DC0-AA80-D1A785626552}" type="presOf" srcId="{75C6C04C-F6CC-41D5-937C-F5D8B0CC0B6E}" destId="{0C7649D5-80A0-47D5-A0A8-D1FAC0AF1F95}" srcOrd="0" destOrd="0" presId="urn:microsoft.com/office/officeart/2005/8/layout/arrow2"/>
    <dgm:cxn modelId="{8C9AD8AF-BB72-4A6F-A44E-EBF1DB2F77FF}" srcId="{AAD5173E-6455-418A-9666-F5096AB60967}" destId="{891CEBE8-8B5F-4D94-B4CA-EC99481A6EF4}" srcOrd="0" destOrd="0" parTransId="{2FE13440-EECF-42F5-86F9-A39E7CA44F1C}" sibTransId="{3C95B228-8747-4BEE-B959-9D4C7573C3AA}"/>
    <dgm:cxn modelId="{66EEAD00-804B-4698-A1C9-2EBF001923E3}" srcId="{39DF26F1-1D66-4951-8EAE-A2EC368DBB37}" destId="{7A1B95D9-5DAB-41B4-BC80-BF2F52B2EBE7}" srcOrd="1" destOrd="0" parTransId="{FEFF1B68-F418-473B-9875-2B693C3BF915}" sibTransId="{D2E63C28-E4CE-4C73-92C4-B34BD146D848}"/>
    <dgm:cxn modelId="{5C368710-9D2C-46A9-BBD1-3BB505DBD517}" srcId="{75C6C04C-F6CC-41D5-937C-F5D8B0CC0B6E}" destId="{9D523578-9D9A-49FC-A8E1-7372217F1DFC}" srcOrd="2" destOrd="0" parTransId="{E13B1116-9EDA-49D1-B0DA-D6F22BB66F5C}" sibTransId="{4A7A5A7C-F8A5-41CA-8CE8-B8C24BA40F64}"/>
    <dgm:cxn modelId="{57D56771-4E03-40AE-8394-707F40E3E490}" type="presOf" srcId="{E7422C38-98FD-4039-A4CF-4E29E65C79BA}" destId="{49D28A10-7F5D-4E73-8E62-5E110E4707D4}" srcOrd="0" destOrd="2" presId="urn:microsoft.com/office/officeart/2005/8/layout/arrow2"/>
    <dgm:cxn modelId="{79D37D8D-128F-4770-9F3F-CC820298F9D1}" type="presOf" srcId="{3B16EB17-E5F5-4BEE-8834-5734C251EB6D}" destId="{7E708D94-DC7C-4A38-A6A4-33DC72FB6B71}" srcOrd="0" destOrd="1" presId="urn:microsoft.com/office/officeart/2005/8/layout/arrow2"/>
    <dgm:cxn modelId="{644FA9A1-F50A-4FA6-9DE8-37E2CB035F4F}" srcId="{9D523578-9D9A-49FC-A8E1-7372217F1DFC}" destId="{0E9A0EB8-328F-4991-92E1-C9E8CCFF6FB6}" srcOrd="2" destOrd="0" parTransId="{2D50A0B8-3529-4973-A2AC-2BD950D14C5A}" sibTransId="{65054062-2D65-4E98-AB71-0940BA9D0D62}"/>
    <dgm:cxn modelId="{FDCF406E-2390-4EDF-9E80-D0F7674F2552}" srcId="{9D523578-9D9A-49FC-A8E1-7372217F1DFC}" destId="{D66A9F66-5448-4391-95C2-47389DB14B6B}" srcOrd="1" destOrd="0" parTransId="{CBB7732C-164B-4835-829E-2811FA09F1C8}" sibTransId="{AE743889-47B7-4D9A-A3F5-23DAA5140F8A}"/>
    <dgm:cxn modelId="{3F6B8969-CA16-47D3-B0E6-E1F7E6C45882}" type="presOf" srcId="{0E9A0EB8-328F-4991-92E1-C9E8CCFF6FB6}" destId="{D6D2B876-2932-40B8-ACA4-38E5D58468BE}" srcOrd="0" destOrd="3" presId="urn:microsoft.com/office/officeart/2005/8/layout/arrow2"/>
    <dgm:cxn modelId="{DF8FB576-C316-4BD0-B4D0-F9C08B5BA1EB}" srcId="{75C6C04C-F6CC-41D5-937C-F5D8B0CC0B6E}" destId="{AAD5173E-6455-418A-9666-F5096AB60967}" srcOrd="0" destOrd="0" parTransId="{37897415-09F1-4C49-B8D6-BF438841672D}" sibTransId="{96A05786-2344-407E-8E89-C74E797A945D}"/>
    <dgm:cxn modelId="{A9D94230-D140-4E16-819F-10D638921A43}" srcId="{39DF26F1-1D66-4951-8EAE-A2EC368DBB37}" destId="{3B16EB17-E5F5-4BEE-8834-5734C251EB6D}" srcOrd="0" destOrd="0" parTransId="{641147E1-6B31-4FAB-BE75-776A27FE6675}" sibTransId="{D7C9C46B-4851-4B32-B0B3-A01958DC9310}"/>
    <dgm:cxn modelId="{BC8949FB-0278-441C-8566-FE33364E854B}" srcId="{AAD5173E-6455-418A-9666-F5096AB60967}" destId="{E7422C38-98FD-4039-A4CF-4E29E65C79BA}" srcOrd="1" destOrd="0" parTransId="{E781663F-13E0-4663-B631-5A12384A6F6B}" sibTransId="{B44004FF-9C25-4549-BBD4-E9BA992E84A6}"/>
    <dgm:cxn modelId="{D0BC658C-A421-48C8-8920-BC22928A53B2}" type="presOf" srcId="{891CEBE8-8B5F-4D94-B4CA-EC99481A6EF4}" destId="{49D28A10-7F5D-4E73-8E62-5E110E4707D4}" srcOrd="0" destOrd="1" presId="urn:microsoft.com/office/officeart/2005/8/layout/arrow2"/>
    <dgm:cxn modelId="{20F7F0B1-4CA2-4127-91D7-58080D6DFDAE}" type="presOf" srcId="{D8980B71-2C9D-4002-AB9E-597D4AE14B29}" destId="{7E708D94-DC7C-4A38-A6A4-33DC72FB6B71}" srcOrd="0" destOrd="4" presId="urn:microsoft.com/office/officeart/2005/8/layout/arrow2"/>
    <dgm:cxn modelId="{E4B8F370-D008-4342-B457-7EFA5FFB4C1A}" srcId="{75C6C04C-F6CC-41D5-937C-F5D8B0CC0B6E}" destId="{39DF26F1-1D66-4951-8EAE-A2EC368DBB37}" srcOrd="1" destOrd="0" parTransId="{540A6760-A51E-4AE9-B366-46270F45E8BB}" sibTransId="{8EF12408-A065-4671-8E71-0C7E0AE0569A}"/>
    <dgm:cxn modelId="{4C9ACED2-65A1-48A5-A342-E8E45CB0E97D}" srcId="{9D523578-9D9A-49FC-A8E1-7372217F1DFC}" destId="{CC5EDACD-55BA-4EE5-ACEE-E058E92E1DEF}" srcOrd="3" destOrd="0" parTransId="{258A5CE8-8311-4E06-872B-89A206321EB4}" sibTransId="{52B92FB3-2A21-44C1-ABC5-E0A12735EC89}"/>
    <dgm:cxn modelId="{BC0D3555-E00C-432B-93B4-2797AFB03D33}" type="presParOf" srcId="{0C7649D5-80A0-47D5-A0A8-D1FAC0AF1F95}" destId="{BE38E62D-869C-4A7F-BD77-A9ACBA8A6CF9}" srcOrd="0" destOrd="0" presId="urn:microsoft.com/office/officeart/2005/8/layout/arrow2"/>
    <dgm:cxn modelId="{547A1987-1878-4B65-BCA4-61A0053DC917}" type="presParOf" srcId="{0C7649D5-80A0-47D5-A0A8-D1FAC0AF1F95}" destId="{4E4AA9DB-C25E-4B94-A6D4-8AD61BEB8EBE}" srcOrd="1" destOrd="0" presId="urn:microsoft.com/office/officeart/2005/8/layout/arrow2"/>
    <dgm:cxn modelId="{266A51D5-CFBE-4503-BDA4-1EDA7D75A93D}" type="presParOf" srcId="{4E4AA9DB-C25E-4B94-A6D4-8AD61BEB8EBE}" destId="{AF04E207-8BE5-45A4-A2F8-5CE176B948D1}" srcOrd="0" destOrd="0" presId="urn:microsoft.com/office/officeart/2005/8/layout/arrow2"/>
    <dgm:cxn modelId="{745B64D5-FFA1-423A-8FFD-819D6DD0F224}" type="presParOf" srcId="{4E4AA9DB-C25E-4B94-A6D4-8AD61BEB8EBE}" destId="{49D28A10-7F5D-4E73-8E62-5E110E4707D4}" srcOrd="1" destOrd="0" presId="urn:microsoft.com/office/officeart/2005/8/layout/arrow2"/>
    <dgm:cxn modelId="{99924296-5B45-4842-AAF8-25544D8D7783}" type="presParOf" srcId="{4E4AA9DB-C25E-4B94-A6D4-8AD61BEB8EBE}" destId="{A00AF179-754B-4398-AD85-3D07B889C9DA}" srcOrd="2" destOrd="0" presId="urn:microsoft.com/office/officeart/2005/8/layout/arrow2"/>
    <dgm:cxn modelId="{1F0E3B82-D382-4996-82CF-65F79A005EF0}" type="presParOf" srcId="{4E4AA9DB-C25E-4B94-A6D4-8AD61BEB8EBE}" destId="{7E708D94-DC7C-4A38-A6A4-33DC72FB6B71}" srcOrd="3" destOrd="0" presId="urn:microsoft.com/office/officeart/2005/8/layout/arrow2"/>
    <dgm:cxn modelId="{F4DA7330-5556-4A6F-B6EB-86D38CBD7A67}" type="presParOf" srcId="{4E4AA9DB-C25E-4B94-A6D4-8AD61BEB8EBE}" destId="{B06CF347-45DC-494A-BCD9-EBF6B06B3AC0}" srcOrd="4" destOrd="0" presId="urn:microsoft.com/office/officeart/2005/8/layout/arrow2"/>
    <dgm:cxn modelId="{82F4CF2F-9E0D-40A4-8EEE-6DE59D75451A}" type="presParOf" srcId="{4E4AA9DB-C25E-4B94-A6D4-8AD61BEB8EBE}" destId="{D6D2B876-2932-40B8-ACA4-38E5D58468BE}" srcOrd="5" destOrd="0" presId="urn:microsoft.com/office/officeart/2005/8/layout/arrow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38E62D-869C-4A7F-BD77-A9ACBA8A6CF9}">
      <dsp:nvSpPr>
        <dsp:cNvPr id="0" name=""/>
        <dsp:cNvSpPr/>
      </dsp:nvSpPr>
      <dsp:spPr>
        <a:xfrm>
          <a:off x="255181" y="0"/>
          <a:ext cx="6549656" cy="4093535"/>
        </a:xfrm>
        <a:prstGeom prst="swooshArrow">
          <a:avLst>
            <a:gd name="adj1" fmla="val 25000"/>
            <a:gd name="adj2" fmla="val 2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F04E207-8BE5-45A4-A2F8-5CE176B948D1}">
      <dsp:nvSpPr>
        <dsp:cNvPr id="0" name=""/>
        <dsp:cNvSpPr/>
      </dsp:nvSpPr>
      <dsp:spPr>
        <a:xfrm>
          <a:off x="1086987" y="2825357"/>
          <a:ext cx="170291" cy="17029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D28A10-7F5D-4E73-8E62-5E110E4707D4}">
      <dsp:nvSpPr>
        <dsp:cNvPr id="0" name=""/>
        <dsp:cNvSpPr/>
      </dsp:nvSpPr>
      <dsp:spPr>
        <a:xfrm>
          <a:off x="1172133" y="2910503"/>
          <a:ext cx="1526069" cy="11830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0234" tIns="0" rIns="0" bIns="0" numCol="1" spcCol="1270" anchor="t" anchorCtr="0">
          <a:noAutofit/>
        </a:bodyPr>
        <a:lstStyle/>
        <a:p>
          <a:pPr lvl="0" algn="l" defTabSz="622300">
            <a:lnSpc>
              <a:spcPct val="90000"/>
            </a:lnSpc>
            <a:spcBef>
              <a:spcPct val="0"/>
            </a:spcBef>
            <a:spcAft>
              <a:spcPct val="35000"/>
            </a:spcAft>
          </a:pPr>
          <a:r>
            <a:rPr lang="es-MX" sz="1400" kern="1200"/>
            <a:t>70s</a:t>
          </a:r>
        </a:p>
        <a:p>
          <a:pPr marL="57150" lvl="1" indent="-57150" algn="l" defTabSz="488950">
            <a:lnSpc>
              <a:spcPct val="90000"/>
            </a:lnSpc>
            <a:spcBef>
              <a:spcPct val="0"/>
            </a:spcBef>
            <a:spcAft>
              <a:spcPct val="15000"/>
            </a:spcAft>
            <a:buChar char="••"/>
          </a:pPr>
          <a:r>
            <a:rPr lang="es-MX" sz="1100" kern="1200"/>
            <a:t>La visión "normativa". </a:t>
          </a:r>
        </a:p>
        <a:p>
          <a:pPr marL="57150" lvl="1" indent="-57150" algn="l" defTabSz="488950">
            <a:lnSpc>
              <a:spcPct val="90000"/>
            </a:lnSpc>
            <a:spcBef>
              <a:spcPct val="0"/>
            </a:spcBef>
            <a:spcAft>
              <a:spcPct val="15000"/>
            </a:spcAft>
            <a:buChar char="••"/>
          </a:pPr>
          <a:r>
            <a:rPr lang="es-MX" sz="1100" kern="1200"/>
            <a:t>Estudios comparativos y de programas regionales</a:t>
          </a:r>
        </a:p>
      </dsp:txBody>
      <dsp:txXfrm>
        <a:off x="1172133" y="2910503"/>
        <a:ext cx="1526069" cy="1183031"/>
      </dsp:txXfrm>
    </dsp:sp>
    <dsp:sp modelId="{A00AF179-754B-4398-AD85-3D07B889C9DA}">
      <dsp:nvSpPr>
        <dsp:cNvPr id="0" name=""/>
        <dsp:cNvSpPr/>
      </dsp:nvSpPr>
      <dsp:spPr>
        <a:xfrm>
          <a:off x="2590133" y="1712735"/>
          <a:ext cx="307833" cy="30783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708D94-DC7C-4A38-A6A4-33DC72FB6B71}">
      <dsp:nvSpPr>
        <dsp:cNvPr id="0" name=""/>
        <dsp:cNvSpPr/>
      </dsp:nvSpPr>
      <dsp:spPr>
        <a:xfrm>
          <a:off x="2744050" y="1866651"/>
          <a:ext cx="1571917" cy="2226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115" tIns="0" rIns="0" bIns="0" numCol="1" spcCol="1270" anchor="t" anchorCtr="0">
          <a:noAutofit/>
        </a:bodyPr>
        <a:lstStyle/>
        <a:p>
          <a:pPr lvl="0" algn="l" defTabSz="622300">
            <a:lnSpc>
              <a:spcPct val="90000"/>
            </a:lnSpc>
            <a:spcBef>
              <a:spcPct val="0"/>
            </a:spcBef>
            <a:spcAft>
              <a:spcPct val="35000"/>
            </a:spcAft>
          </a:pPr>
          <a:r>
            <a:rPr lang="es-MX" sz="1400" kern="1200"/>
            <a:t>80s</a:t>
          </a:r>
        </a:p>
        <a:p>
          <a:pPr marL="57150" lvl="1" indent="-57150" algn="l" defTabSz="488950">
            <a:lnSpc>
              <a:spcPct val="90000"/>
            </a:lnSpc>
            <a:spcBef>
              <a:spcPct val="0"/>
            </a:spcBef>
            <a:spcAft>
              <a:spcPct val="15000"/>
            </a:spcAft>
            <a:buChar char="••"/>
          </a:pPr>
          <a:r>
            <a:rPr lang="es-MX" sz="1100" kern="1200"/>
            <a:t>La gestión estratégica </a:t>
          </a:r>
        </a:p>
        <a:p>
          <a:pPr marL="57150" lvl="1" indent="-57150" algn="l" defTabSz="488950">
            <a:lnSpc>
              <a:spcPct val="90000"/>
            </a:lnSpc>
            <a:spcBef>
              <a:spcPct val="0"/>
            </a:spcBef>
            <a:spcAft>
              <a:spcPct val="15000"/>
            </a:spcAft>
            <a:buChar char="••"/>
          </a:pPr>
          <a:r>
            <a:rPr lang="es-MX" sz="1100" kern="1200"/>
            <a:t>El análisis de tipo FODA</a:t>
          </a:r>
        </a:p>
        <a:p>
          <a:pPr marL="57150" lvl="1" indent="-57150" algn="l" defTabSz="488950">
            <a:lnSpc>
              <a:spcPct val="90000"/>
            </a:lnSpc>
            <a:spcBef>
              <a:spcPct val="0"/>
            </a:spcBef>
            <a:spcAft>
              <a:spcPct val="15000"/>
            </a:spcAft>
            <a:buChar char="••"/>
          </a:pPr>
          <a:r>
            <a:rPr lang="es-MX" sz="1100" kern="1200"/>
            <a:t>Administración a  gestión</a:t>
          </a:r>
        </a:p>
        <a:p>
          <a:pPr marL="57150" lvl="1" indent="-57150" algn="l" defTabSz="488950">
            <a:lnSpc>
              <a:spcPct val="90000"/>
            </a:lnSpc>
            <a:spcBef>
              <a:spcPct val="0"/>
            </a:spcBef>
            <a:spcAft>
              <a:spcPct val="15000"/>
            </a:spcAft>
            <a:buChar char="••"/>
          </a:pPr>
          <a:r>
            <a:rPr lang="es-MX" sz="1100" kern="1200"/>
            <a:t>1988 "Planning as learning"</a:t>
          </a:r>
        </a:p>
      </dsp:txBody>
      <dsp:txXfrm>
        <a:off x="2744050" y="1866651"/>
        <a:ext cx="1571917" cy="2226883"/>
      </dsp:txXfrm>
    </dsp:sp>
    <dsp:sp modelId="{B06CF347-45DC-494A-BCD9-EBF6B06B3AC0}">
      <dsp:nvSpPr>
        <dsp:cNvPr id="0" name=""/>
        <dsp:cNvSpPr/>
      </dsp:nvSpPr>
      <dsp:spPr>
        <a:xfrm>
          <a:off x="4397838" y="1035664"/>
          <a:ext cx="425727" cy="42572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D2B876-2932-40B8-ACA4-38E5D58468BE}">
      <dsp:nvSpPr>
        <dsp:cNvPr id="0" name=""/>
        <dsp:cNvSpPr/>
      </dsp:nvSpPr>
      <dsp:spPr>
        <a:xfrm>
          <a:off x="4610702" y="1248528"/>
          <a:ext cx="1571917" cy="28450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5584" tIns="0" rIns="0" bIns="0" numCol="1" spcCol="1270" anchor="t" anchorCtr="0">
          <a:noAutofit/>
        </a:bodyPr>
        <a:lstStyle/>
        <a:p>
          <a:pPr lvl="0" algn="l" defTabSz="622300">
            <a:lnSpc>
              <a:spcPct val="90000"/>
            </a:lnSpc>
            <a:spcBef>
              <a:spcPct val="0"/>
            </a:spcBef>
            <a:spcAft>
              <a:spcPct val="35000"/>
            </a:spcAft>
          </a:pPr>
          <a:r>
            <a:rPr lang="es-MX" sz="1400" kern="1200"/>
            <a:t>90s</a:t>
          </a:r>
        </a:p>
        <a:p>
          <a:pPr marL="57150" lvl="1" indent="-57150" algn="l" defTabSz="488950">
            <a:lnSpc>
              <a:spcPct val="90000"/>
            </a:lnSpc>
            <a:spcBef>
              <a:spcPct val="0"/>
            </a:spcBef>
            <a:spcAft>
              <a:spcPct val="15000"/>
            </a:spcAft>
            <a:buChar char="••"/>
          </a:pPr>
          <a:r>
            <a:rPr lang="es-MX" sz="1100" kern="1200"/>
            <a:t>planificación ygestión en la educación.</a:t>
          </a:r>
        </a:p>
        <a:p>
          <a:pPr marL="57150" lvl="1" indent="-57150" algn="l" defTabSz="488950">
            <a:lnSpc>
              <a:spcPct val="90000"/>
            </a:lnSpc>
            <a:spcBef>
              <a:spcPct val="0"/>
            </a:spcBef>
            <a:spcAft>
              <a:spcPct val="15000"/>
            </a:spcAft>
            <a:buChar char="••"/>
          </a:pPr>
          <a:r>
            <a:rPr lang="es-MX" sz="1100" kern="1200"/>
            <a:t>Acuerdos y consensos sociales.</a:t>
          </a:r>
        </a:p>
        <a:p>
          <a:pPr marL="57150" lvl="1" indent="-57150" algn="l" defTabSz="488950">
            <a:lnSpc>
              <a:spcPct val="90000"/>
            </a:lnSpc>
            <a:spcBef>
              <a:spcPct val="0"/>
            </a:spcBef>
            <a:spcAft>
              <a:spcPct val="15000"/>
            </a:spcAft>
            <a:buChar char="••"/>
          </a:pPr>
          <a:r>
            <a:rPr lang="es-MX" sz="1100" kern="1200"/>
            <a:t>perpectiva estretegica de calidad total.</a:t>
          </a:r>
        </a:p>
        <a:p>
          <a:pPr marL="57150" lvl="1" indent="-57150" algn="l" defTabSz="488950">
            <a:lnSpc>
              <a:spcPct val="90000"/>
            </a:lnSpc>
            <a:spcBef>
              <a:spcPct val="0"/>
            </a:spcBef>
            <a:spcAft>
              <a:spcPct val="15000"/>
            </a:spcAft>
            <a:buChar char="••"/>
          </a:pPr>
          <a:r>
            <a:rPr lang="es-MX" sz="1100" kern="1200"/>
            <a:t>Tipo A y tipo B</a:t>
          </a:r>
        </a:p>
      </dsp:txBody>
      <dsp:txXfrm>
        <a:off x="4610702" y="1248528"/>
        <a:ext cx="1571917" cy="2845006"/>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972</Words>
  <Characters>5351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Lariza Molina</cp:lastModifiedBy>
  <cp:revision>4</cp:revision>
  <dcterms:created xsi:type="dcterms:W3CDTF">2015-09-01T21:14:00Z</dcterms:created>
  <dcterms:modified xsi:type="dcterms:W3CDTF">2015-09-02T18:38:00Z</dcterms:modified>
</cp:coreProperties>
</file>